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D3" w:rsidRDefault="001F6AD3" w:rsidP="00593A2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8211F8" w:rsidRDefault="00984662" w:rsidP="00775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98466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СПРАВКА ПО ЧЛ. 26, АЛ. 5 ОТ ЗАКОНА ЗА НОРМАТИВНИТЕ АКТОВЕ ЗА ОТРАЗЯВАНЕ НА </w:t>
      </w:r>
      <w:r w:rsidR="002E1D8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ПРЕДЛОЖЕНИЯТА</w:t>
      </w:r>
      <w:r w:rsidR="002E1D82" w:rsidRPr="0098466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</w:t>
      </w:r>
      <w:r w:rsidRPr="0098466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ПОЛУЧЕНИ ПРИ ОБЩЕСТВЕНИТЕ КОНСУЛТАЦИИ</w:t>
      </w:r>
      <w:r w:rsidR="009E4D8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9E4D8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ПО ПРОЕКТ</w:t>
      </w:r>
      <w:r w:rsidRPr="0098466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</w:t>
      </w:r>
      <w:r w:rsidR="007C17D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НАРЕДБА</w:t>
      </w:r>
      <w:r w:rsidR="00B3166D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 ЗА УТВЪРЖДАВАНЕ НА ОБРАЗЦИ</w:t>
      </w:r>
      <w:r w:rsidR="00775BB2" w:rsidRPr="00775BB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НА ЗАПОВЕД ЗА ИЗПЪЛНЕНИЕ, ЗАЯВЛЕНИЕ ЗА ИЗДАВАНЕ НА ЗАПОВЕД ЗА ИЗПЪЛНЕНИЕ И ДРУГИ КНИЖА ВЪВ ВРЪЗКА СЪС ЗАПОВЕДНОТО ПРОИЗВОДСТВО</w:t>
      </w:r>
    </w:p>
    <w:p w:rsidR="008211F8" w:rsidRDefault="008211F8" w:rsidP="001F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F6AD3" w:rsidRPr="001F6AD3" w:rsidRDefault="001F6AD3" w:rsidP="00593A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tbl>
      <w:tblPr>
        <w:tblW w:w="147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6379"/>
        <w:gridCol w:w="1985"/>
        <w:gridCol w:w="4116"/>
      </w:tblGrid>
      <w:tr w:rsidR="00CA7387" w:rsidRPr="00B56147" w:rsidTr="00F94A49">
        <w:trPr>
          <w:trHeight w:val="20"/>
        </w:trPr>
        <w:tc>
          <w:tcPr>
            <w:tcW w:w="2297" w:type="dxa"/>
            <w:shd w:val="clear" w:color="auto" w:fill="B8CCE4" w:themeFill="accent1" w:themeFillTint="66"/>
          </w:tcPr>
          <w:p w:rsidR="00CA7387" w:rsidRDefault="00955DBA" w:rsidP="00EE5A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5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Портал за обществени консултации</w:t>
            </w:r>
            <w:r w:rsidR="00775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,</w:t>
            </w:r>
          </w:p>
          <w:p w:rsidR="00775BB2" w:rsidRPr="00B56147" w:rsidRDefault="00775BB2" w:rsidP="00EE5AC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интернет страница на Министерството на правосъдието</w:t>
            </w:r>
          </w:p>
        </w:tc>
        <w:tc>
          <w:tcPr>
            <w:tcW w:w="6379" w:type="dxa"/>
            <w:shd w:val="clear" w:color="auto" w:fill="B8CCE4" w:themeFill="accent1" w:themeFillTint="66"/>
          </w:tcPr>
          <w:p w:rsidR="00CA7387" w:rsidRPr="00B56147" w:rsidRDefault="00CA7387" w:rsidP="00E830FE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5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Предложение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445068" w:rsidRPr="00B56147" w:rsidRDefault="00CA7387" w:rsidP="00E83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5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Приема /</w:t>
            </w:r>
          </w:p>
          <w:p w:rsidR="00CA7387" w:rsidRPr="00B56147" w:rsidRDefault="00CA7387" w:rsidP="00E830FE">
            <w:pPr>
              <w:widowControl w:val="0"/>
              <w:spacing w:after="0" w:line="240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5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не приема</w:t>
            </w:r>
          </w:p>
          <w:p w:rsidR="00CA7387" w:rsidRPr="00B56147" w:rsidRDefault="00CA7387" w:rsidP="00E830FE">
            <w:pPr>
              <w:widowControl w:val="0"/>
              <w:spacing w:after="0" w:line="240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5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предложението</w:t>
            </w:r>
          </w:p>
        </w:tc>
        <w:tc>
          <w:tcPr>
            <w:tcW w:w="4116" w:type="dxa"/>
            <w:shd w:val="clear" w:color="auto" w:fill="B8CCE4" w:themeFill="accent1" w:themeFillTint="66"/>
          </w:tcPr>
          <w:p w:rsidR="00CA7387" w:rsidRPr="00B56147" w:rsidRDefault="00CA7387" w:rsidP="00E83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B56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Мотиви</w:t>
            </w:r>
          </w:p>
        </w:tc>
      </w:tr>
      <w:tr w:rsidR="00D0651E" w:rsidRPr="00B56147" w:rsidTr="00D0651E">
        <w:trPr>
          <w:trHeight w:val="20"/>
        </w:trPr>
        <w:tc>
          <w:tcPr>
            <w:tcW w:w="2297" w:type="dxa"/>
            <w:shd w:val="clear" w:color="auto" w:fill="auto"/>
          </w:tcPr>
          <w:p w:rsidR="00D0651E" w:rsidRPr="00B56147" w:rsidRDefault="00D0651E" w:rsidP="00D0651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Висш съдебен съвет</w:t>
            </w:r>
          </w:p>
        </w:tc>
        <w:tc>
          <w:tcPr>
            <w:tcW w:w="6379" w:type="dxa"/>
            <w:shd w:val="clear" w:color="auto" w:fill="auto"/>
          </w:tcPr>
          <w:p w:rsidR="00D0651E" w:rsidRPr="00D0651E" w:rsidRDefault="00EF78DF" w:rsidP="00D0651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Да </w:t>
            </w:r>
            <w:r w:rsidR="0094531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ъздаде чл. 3а в проекта на наредба със следния текст: „Подаването на заявление за издаване на заповед за изпълнение по чл. 410 ГПК може да се изв</w:t>
            </w:r>
            <w:r w:rsidR="0094531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ършва и по електронен път през Единния портал за електронно правосъдие.“</w:t>
            </w:r>
          </w:p>
        </w:tc>
        <w:tc>
          <w:tcPr>
            <w:tcW w:w="1985" w:type="dxa"/>
            <w:shd w:val="clear" w:color="auto" w:fill="auto"/>
          </w:tcPr>
          <w:p w:rsidR="00D0651E" w:rsidRPr="00945318" w:rsidRDefault="004B6301" w:rsidP="00D0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B630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се приема.</w:t>
            </w:r>
          </w:p>
        </w:tc>
        <w:tc>
          <w:tcPr>
            <w:tcW w:w="4116" w:type="dxa"/>
            <w:shd w:val="clear" w:color="auto" w:fill="auto"/>
          </w:tcPr>
          <w:p w:rsidR="00D0651E" w:rsidRPr="00945318" w:rsidRDefault="00BD3D50" w:rsidP="009453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BD3D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Единният портал за електронно правосъдие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е уреден в чл. 360в от Закона за съдебната власт</w:t>
            </w:r>
            <w:r w:rsidR="00945318" w:rsidRPr="0094531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Влизането в сила на ал. 2 на чл. 360в, която предвижда </w:t>
            </w:r>
            <w:r w:rsidRPr="00BD3D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извършване на процесуални действия в електронна 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през Единния</w:t>
            </w:r>
            <w:r w:rsidRPr="00BD3D5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портал за електронно правосъдие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, е отложено за 1 януари 2021 г. (ЗИД на ЗСВ,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., ДВ, бр. 11 от 2020 г.). Не е възможно приемане на предложеното допълнение в подзаконовата нормативна уредба преди влизането в сила на законовата делегация за него.</w:t>
            </w:r>
          </w:p>
        </w:tc>
      </w:tr>
      <w:tr w:rsidR="00D0651E" w:rsidRPr="00B56147" w:rsidTr="00D0651E">
        <w:trPr>
          <w:trHeight w:val="20"/>
        </w:trPr>
        <w:tc>
          <w:tcPr>
            <w:tcW w:w="2297" w:type="dxa"/>
            <w:shd w:val="clear" w:color="auto" w:fill="auto"/>
          </w:tcPr>
          <w:p w:rsidR="00D0651E" w:rsidRDefault="00D0651E" w:rsidP="00D0651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Софийски районен съд</w:t>
            </w:r>
          </w:p>
        </w:tc>
        <w:tc>
          <w:tcPr>
            <w:tcW w:w="6379" w:type="dxa"/>
            <w:shd w:val="clear" w:color="auto" w:fill="auto"/>
          </w:tcPr>
          <w:p w:rsidR="00D0651E" w:rsidRPr="00D0651E" w:rsidRDefault="00D0651E" w:rsidP="00D0651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0651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постъпило становище.</w:t>
            </w:r>
          </w:p>
        </w:tc>
        <w:tc>
          <w:tcPr>
            <w:tcW w:w="1985" w:type="dxa"/>
            <w:shd w:val="clear" w:color="auto" w:fill="auto"/>
          </w:tcPr>
          <w:p w:rsidR="00D0651E" w:rsidRPr="00B56147" w:rsidRDefault="00D0651E" w:rsidP="00D0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4116" w:type="dxa"/>
            <w:shd w:val="clear" w:color="auto" w:fill="auto"/>
          </w:tcPr>
          <w:p w:rsidR="00D0651E" w:rsidRPr="00B56147" w:rsidRDefault="00D0651E" w:rsidP="00E83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D0651E" w:rsidRPr="00B56147" w:rsidTr="00D0651E">
        <w:trPr>
          <w:trHeight w:val="20"/>
        </w:trPr>
        <w:tc>
          <w:tcPr>
            <w:tcW w:w="2297" w:type="dxa"/>
            <w:shd w:val="clear" w:color="auto" w:fill="auto"/>
          </w:tcPr>
          <w:p w:rsidR="00D0651E" w:rsidRDefault="00D0651E" w:rsidP="00D0651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Районен съд - Пловдив</w:t>
            </w:r>
          </w:p>
        </w:tc>
        <w:tc>
          <w:tcPr>
            <w:tcW w:w="6379" w:type="dxa"/>
            <w:shd w:val="clear" w:color="auto" w:fill="auto"/>
          </w:tcPr>
          <w:p w:rsidR="00D0651E" w:rsidRPr="00D0651E" w:rsidRDefault="00D0651E" w:rsidP="00D0651E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0651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постъпило становище.</w:t>
            </w:r>
          </w:p>
        </w:tc>
        <w:tc>
          <w:tcPr>
            <w:tcW w:w="1985" w:type="dxa"/>
            <w:shd w:val="clear" w:color="auto" w:fill="auto"/>
          </w:tcPr>
          <w:p w:rsidR="00D0651E" w:rsidRPr="00B56147" w:rsidRDefault="00D0651E" w:rsidP="00D06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4116" w:type="dxa"/>
            <w:shd w:val="clear" w:color="auto" w:fill="auto"/>
          </w:tcPr>
          <w:p w:rsidR="00D0651E" w:rsidRPr="00B56147" w:rsidRDefault="00D0651E" w:rsidP="00E83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AC6F83" w:rsidRPr="00877F72" w:rsidTr="00C83FFF">
        <w:trPr>
          <w:trHeight w:val="20"/>
        </w:trPr>
        <w:tc>
          <w:tcPr>
            <w:tcW w:w="2297" w:type="dxa"/>
          </w:tcPr>
          <w:p w:rsidR="00AC6F83" w:rsidRDefault="00AC6F83" w:rsidP="00955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Районен съд - Варна</w:t>
            </w:r>
          </w:p>
        </w:tc>
        <w:tc>
          <w:tcPr>
            <w:tcW w:w="6379" w:type="dxa"/>
          </w:tcPr>
          <w:p w:rsidR="00AC6F83" w:rsidRDefault="000C0B08" w:rsidP="00E830F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Срокът по чл. 413, ал. 1 ГПК за обжалване на заповедта за изменение в частта за разноските следва да е един месец за длъжника, така както се променя и срокът по чл. 419, ал. 1 ГПК.</w:t>
            </w:r>
          </w:p>
        </w:tc>
        <w:tc>
          <w:tcPr>
            <w:tcW w:w="1985" w:type="dxa"/>
          </w:tcPr>
          <w:p w:rsidR="00AC6F83" w:rsidRPr="000C0B08" w:rsidRDefault="000C0B08" w:rsidP="00AF2B29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 w:rsidRPr="00AF2B2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Приема се.</w:t>
            </w:r>
            <w:r w:rsidRPr="000C0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4116" w:type="dxa"/>
          </w:tcPr>
          <w:p w:rsidR="00AC6F83" w:rsidRDefault="000C0B08" w:rsidP="008947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>Отразено в проекта.</w:t>
            </w:r>
          </w:p>
        </w:tc>
      </w:tr>
      <w:tr w:rsidR="00AC6F83" w:rsidRPr="00877F72" w:rsidTr="00C83FFF">
        <w:trPr>
          <w:trHeight w:val="20"/>
        </w:trPr>
        <w:tc>
          <w:tcPr>
            <w:tcW w:w="2297" w:type="dxa"/>
          </w:tcPr>
          <w:p w:rsidR="00AC6F83" w:rsidRDefault="00AC6F83" w:rsidP="00955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Районен съд - Благоевград</w:t>
            </w:r>
          </w:p>
        </w:tc>
        <w:tc>
          <w:tcPr>
            <w:tcW w:w="6379" w:type="dxa"/>
          </w:tcPr>
          <w:p w:rsidR="00AC6F83" w:rsidRPr="00AC6F83" w:rsidRDefault="00AC6F83" w:rsidP="00E830F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C6F8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Подкрепя проекта.</w:t>
            </w:r>
          </w:p>
        </w:tc>
        <w:tc>
          <w:tcPr>
            <w:tcW w:w="1985" w:type="dxa"/>
          </w:tcPr>
          <w:p w:rsidR="00AC6F83" w:rsidRDefault="00AC6F83" w:rsidP="00850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116" w:type="dxa"/>
          </w:tcPr>
          <w:p w:rsidR="00AC6F83" w:rsidRDefault="00AC6F83" w:rsidP="008947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</w:tc>
      </w:tr>
      <w:tr w:rsidR="00AC6F83" w:rsidRPr="00877F72" w:rsidTr="00C83FFF">
        <w:trPr>
          <w:trHeight w:val="20"/>
        </w:trPr>
        <w:tc>
          <w:tcPr>
            <w:tcW w:w="2297" w:type="dxa"/>
          </w:tcPr>
          <w:p w:rsidR="00AC6F83" w:rsidRDefault="008D63BF" w:rsidP="00955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>Районен съд-Бургас</w:t>
            </w:r>
          </w:p>
        </w:tc>
        <w:tc>
          <w:tcPr>
            <w:tcW w:w="6379" w:type="dxa"/>
          </w:tcPr>
          <w:p w:rsidR="00AC6F83" w:rsidRPr="00AC6F83" w:rsidRDefault="000C0B08" w:rsidP="00E830F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постъпило становище.</w:t>
            </w:r>
          </w:p>
        </w:tc>
        <w:tc>
          <w:tcPr>
            <w:tcW w:w="1985" w:type="dxa"/>
          </w:tcPr>
          <w:p w:rsidR="00AC6F83" w:rsidRDefault="00AC6F83" w:rsidP="00850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116" w:type="dxa"/>
          </w:tcPr>
          <w:p w:rsidR="00AC6F83" w:rsidRDefault="00AC6F83" w:rsidP="001A2FAC">
            <w:pPr>
              <w:jc w:val="both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</w:tc>
      </w:tr>
      <w:tr w:rsidR="000B5C70" w:rsidRPr="00877F72" w:rsidTr="00C83FFF">
        <w:trPr>
          <w:trHeight w:val="20"/>
        </w:trPr>
        <w:tc>
          <w:tcPr>
            <w:tcW w:w="2297" w:type="dxa"/>
          </w:tcPr>
          <w:p w:rsidR="000B5C70" w:rsidRDefault="000B5C70" w:rsidP="00955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  <w:p w:rsidR="000B5C70" w:rsidRPr="00984662" w:rsidRDefault="00AC6F83" w:rsidP="00955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Камара на частните съдебни изпълнители</w:t>
            </w:r>
          </w:p>
        </w:tc>
        <w:tc>
          <w:tcPr>
            <w:tcW w:w="6379" w:type="dxa"/>
          </w:tcPr>
          <w:p w:rsidR="000B5C70" w:rsidRDefault="000B5C70" w:rsidP="00E830FE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D37679" w:rsidRPr="00031690" w:rsidRDefault="000C0B08" w:rsidP="000C0B08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Без бележки по проекта на наредба. </w:t>
            </w:r>
          </w:p>
        </w:tc>
        <w:tc>
          <w:tcPr>
            <w:tcW w:w="1985" w:type="dxa"/>
          </w:tcPr>
          <w:p w:rsidR="007B247B" w:rsidRDefault="007B247B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B247B" w:rsidRDefault="007B247B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B247B" w:rsidRDefault="007B247B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B247B" w:rsidRDefault="007B247B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0C104F" w:rsidRDefault="000C104F" w:rsidP="009846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116" w:type="dxa"/>
          </w:tcPr>
          <w:p w:rsidR="0089471C" w:rsidRDefault="0089471C" w:rsidP="0089471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 xml:space="preserve"> </w:t>
            </w:r>
          </w:p>
          <w:p w:rsidR="004F3B5B" w:rsidRPr="00877F72" w:rsidRDefault="004F3B5B" w:rsidP="00AC6F8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</w:tc>
      </w:tr>
      <w:tr w:rsidR="006A1907" w:rsidRPr="00877F72" w:rsidTr="00C83FFF">
        <w:trPr>
          <w:trHeight w:val="20"/>
        </w:trPr>
        <w:tc>
          <w:tcPr>
            <w:tcW w:w="2297" w:type="dxa"/>
          </w:tcPr>
          <w:p w:rsidR="006A1907" w:rsidRDefault="001D7BAD" w:rsidP="00955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Адв. Жана Кисьова</w:t>
            </w:r>
          </w:p>
          <w:p w:rsidR="001D7BAD" w:rsidRDefault="001D7BAD" w:rsidP="00955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Адв. Стефан Марчев</w:t>
            </w:r>
          </w:p>
        </w:tc>
        <w:tc>
          <w:tcPr>
            <w:tcW w:w="6379" w:type="dxa"/>
          </w:tcPr>
          <w:p w:rsidR="006A1907" w:rsidRDefault="00872BC3" w:rsidP="00872BC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" w:right="40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Приложение № 1 и Приложение № 4 да бъде посочено попълването на кои полета е задължително.</w:t>
            </w:r>
          </w:p>
          <w:p w:rsidR="00872BC3" w:rsidRDefault="00872BC3" w:rsidP="00872BC3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72BC3" w:rsidRDefault="00872BC3" w:rsidP="00872BC3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72BC3" w:rsidRDefault="00872BC3" w:rsidP="00872BC3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72BC3" w:rsidRDefault="00872BC3" w:rsidP="00872BC3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72BC3" w:rsidRDefault="00872BC3" w:rsidP="00872BC3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097488" w:rsidRDefault="00097488" w:rsidP="00872BC3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72BC3" w:rsidRDefault="00872BC3" w:rsidP="008D68E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right="4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D68E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указанията за попълване на заявленията да се предвиди възможността за попълването им по електронен път.</w:t>
            </w:r>
          </w:p>
          <w:p w:rsidR="008D68E0" w:rsidRDefault="008D68E0" w:rsidP="008D68E0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F2B29" w:rsidRDefault="00AF2B29" w:rsidP="008D68E0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F2B29" w:rsidRDefault="00AF2B29" w:rsidP="008D68E0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D68E0" w:rsidRPr="008D68E0" w:rsidRDefault="008D68E0" w:rsidP="004720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-108" w:right="4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D68E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образеца на Заявление по чл. 410 ГПК в т. 2 да се следва текстът на чл. 410 ГПК „договорът, ако е в писмена форма, заедно с всички негови приложения и изменения, както и приложимите общи условия, ако има такива“</w:t>
            </w:r>
          </w:p>
          <w:p w:rsidR="008D68E0" w:rsidRPr="008D68E0" w:rsidRDefault="008D68E0" w:rsidP="0047209A">
            <w:pPr>
              <w:pStyle w:val="ListParagraph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D68E0" w:rsidRDefault="008D68E0" w:rsidP="004720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-108" w:right="4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образеца на Заявлението по чл. 417 ГПК изброяването на приложенията в три точки (т.</w:t>
            </w:r>
            <w:r w:rsidR="00270EE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2, 3 и 4) може да се окаже подвеждащо, тъй като изглежда, че договорът, от който произтича вземането, ще трябва да се приложи повече от веднъж към едно и също заявление (три пъти).</w:t>
            </w:r>
          </w:p>
          <w:p w:rsidR="0047209A" w:rsidRPr="0047209A" w:rsidRDefault="0047209A" w:rsidP="0047209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47209A" w:rsidRDefault="0047209A" w:rsidP="004720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-108" w:right="4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В образците на Заповед за изпълнение по чл. 410 ГПК и чл. 417 ГПК да се уеднакви срокът за подаване на жалба в частта за разноските с тези за подаване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възражение и на частна жалба срещу разпореждането за незабавно изпълнение.</w:t>
            </w:r>
          </w:p>
          <w:p w:rsidR="002070C1" w:rsidRPr="002070C1" w:rsidRDefault="002070C1" w:rsidP="002070C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2070C1" w:rsidRPr="008D68E0" w:rsidRDefault="002070C1" w:rsidP="004720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-108" w:right="40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Да бъде преценено дали в образците на Заявления по чл. 410 и чл. 417 ГПК не е необходимо да се допише изрична инструкция накрая, че на Заявителя се указва да посочи всички известни му адреси за кореспонденция с длъжника, а в образците на Заповед за изпълнение по чл. 410 и 417 ГПК на длъжника да се укаже, че ще му бъде залепено съобщение на регистрирания от него постоянен или настоящ адрес само в случаите, </w:t>
            </w:r>
            <w:r w:rsidR="0006613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когато заповедта не е връчена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надлежно на останалите адреси, посочени от Заявителя.</w:t>
            </w:r>
          </w:p>
        </w:tc>
        <w:tc>
          <w:tcPr>
            <w:tcW w:w="1985" w:type="dxa"/>
          </w:tcPr>
          <w:p w:rsidR="00872BC3" w:rsidRPr="008D68E0" w:rsidRDefault="00872BC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D68E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 xml:space="preserve">1. </w:t>
            </w:r>
            <w:r w:rsidR="00632B9B" w:rsidRPr="008D68E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се приема.</w:t>
            </w:r>
          </w:p>
          <w:p w:rsidR="00872BC3" w:rsidRPr="008D68E0" w:rsidRDefault="00872BC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72BC3" w:rsidRPr="008D68E0" w:rsidRDefault="00872BC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72BC3" w:rsidRPr="008D68E0" w:rsidRDefault="00872BC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72BC3" w:rsidRPr="008D68E0" w:rsidRDefault="00872BC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72BC3" w:rsidRPr="008D68E0" w:rsidRDefault="00872BC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72BC3" w:rsidRDefault="00872BC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097488" w:rsidRPr="008D68E0" w:rsidRDefault="00097488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6A1907" w:rsidRDefault="00270EE1" w:rsidP="00270EE1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2. </w:t>
            </w:r>
            <w:r w:rsidR="00AF2B29" w:rsidRPr="008D68E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се приема.</w:t>
            </w:r>
          </w:p>
          <w:p w:rsidR="00270EE1" w:rsidRDefault="00270EE1" w:rsidP="00270EE1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  <w:p w:rsidR="008D68E0" w:rsidRDefault="008D68E0" w:rsidP="008D68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F2B29" w:rsidRDefault="00AF2B29" w:rsidP="008D68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F2B29" w:rsidRDefault="00AF2B29" w:rsidP="008D68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D68E0" w:rsidRPr="00AF2B29" w:rsidRDefault="00270EE1" w:rsidP="00270EE1">
            <w:pPr>
              <w:widowControl w:val="0"/>
              <w:spacing w:after="0" w:line="240" w:lineRule="auto"/>
              <w:ind w:left="391" w:hanging="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F2B2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3. </w:t>
            </w:r>
            <w:r w:rsidR="008D68E0" w:rsidRPr="00AF2B2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Приема се.</w:t>
            </w:r>
          </w:p>
          <w:p w:rsidR="008D68E0" w:rsidRPr="008D68E0" w:rsidRDefault="008D68E0" w:rsidP="008D68E0">
            <w:pPr>
              <w:pStyle w:val="List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  <w:p w:rsidR="008D68E0" w:rsidRPr="00066136" w:rsidRDefault="008D68E0" w:rsidP="008D68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D68E0" w:rsidRPr="00066136" w:rsidRDefault="008D68E0" w:rsidP="008D68E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D68E0" w:rsidRPr="00066136" w:rsidRDefault="008442A9" w:rsidP="005746CC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6613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се приема</w:t>
            </w:r>
            <w:r w:rsidR="008D68E0" w:rsidRPr="0006613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:rsidR="0047209A" w:rsidRPr="00066136" w:rsidRDefault="0047209A" w:rsidP="00472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47209A" w:rsidRPr="00066136" w:rsidRDefault="0047209A" w:rsidP="00472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47209A" w:rsidRPr="00066136" w:rsidRDefault="0047209A" w:rsidP="00472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47209A" w:rsidRPr="00066136" w:rsidRDefault="0047209A" w:rsidP="00472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5746CC" w:rsidRPr="00066136" w:rsidRDefault="005746CC" w:rsidP="00472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5746CC" w:rsidRPr="00066136" w:rsidRDefault="005746CC" w:rsidP="004720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47209A" w:rsidRPr="00066136" w:rsidRDefault="005746CC" w:rsidP="005746CC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6613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Приема се.</w:t>
            </w:r>
          </w:p>
          <w:p w:rsidR="002070C1" w:rsidRPr="00066136" w:rsidRDefault="002070C1" w:rsidP="00207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2070C1" w:rsidRPr="00066136" w:rsidRDefault="002070C1" w:rsidP="00207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2070C1" w:rsidRPr="00066136" w:rsidRDefault="002070C1" w:rsidP="00207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5746CC" w:rsidRPr="00066136" w:rsidRDefault="005746CC" w:rsidP="00207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5746CC" w:rsidRPr="00066136" w:rsidRDefault="005746CC" w:rsidP="00207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5746CC" w:rsidRPr="00066136" w:rsidRDefault="005746CC" w:rsidP="00207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2070C1" w:rsidRPr="00066136" w:rsidRDefault="002070C1" w:rsidP="005746CC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6613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се приема.</w:t>
            </w:r>
          </w:p>
          <w:p w:rsidR="008D68E0" w:rsidRPr="008D68E0" w:rsidRDefault="008D68E0" w:rsidP="0047209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D68E0" w:rsidRPr="008D68E0" w:rsidRDefault="008D68E0" w:rsidP="008D68E0">
            <w:pPr>
              <w:pStyle w:val="ListParagraph"/>
              <w:widowControl w:val="0"/>
              <w:spacing w:after="0" w:line="240" w:lineRule="auto"/>
              <w:ind w:left="7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bg-BG"/>
              </w:rPr>
            </w:pPr>
          </w:p>
        </w:tc>
        <w:tc>
          <w:tcPr>
            <w:tcW w:w="4116" w:type="dxa"/>
          </w:tcPr>
          <w:p w:rsidR="00872BC3" w:rsidRDefault="00872BC3" w:rsidP="00F6634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lastRenderedPageBreak/>
              <w:t>1. Този подход вместо до улеснение може да доведе до объркване на заявилите, които да попълват само указаните като задължителни полета.</w:t>
            </w:r>
          </w:p>
          <w:p w:rsidR="00872BC3" w:rsidRDefault="00872BC3" w:rsidP="00F6634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>Образците се прилагат повече от 10 години и е създадена практика по  попълването им.</w:t>
            </w:r>
          </w:p>
          <w:p w:rsidR="00270EE1" w:rsidRPr="00270EE1" w:rsidRDefault="00270EE1" w:rsidP="00270EE1">
            <w:pPr>
              <w:pStyle w:val="ListParagraph"/>
              <w:suppressAutoHyphens/>
              <w:autoSpaceDN w:val="0"/>
              <w:spacing w:after="0" w:line="240" w:lineRule="auto"/>
              <w:ind w:left="33"/>
              <w:jc w:val="both"/>
              <w:textAlignment w:val="baseline"/>
              <w:rPr>
                <w:rFonts w:ascii="Times New Roman" w:eastAsia="SimSun" w:hAnsi="Times New Roman" w:cs="Times New Roman"/>
                <w:bCs/>
                <w:color w:val="FF0000"/>
                <w:kern w:val="3"/>
                <w:sz w:val="24"/>
                <w:szCs w:val="24"/>
                <w:lang w:val="bg-BG" w:eastAsia="ar-SA"/>
              </w:rPr>
            </w:pPr>
          </w:p>
          <w:p w:rsidR="008D68E0" w:rsidRPr="00270EE1" w:rsidRDefault="00823E0F" w:rsidP="00823E0F">
            <w:pPr>
              <w:pStyle w:val="ListParagraph"/>
              <w:suppressAutoHyphens/>
              <w:autoSpaceDN w:val="0"/>
              <w:spacing w:after="0" w:line="240" w:lineRule="auto"/>
              <w:ind w:left="33"/>
              <w:jc w:val="both"/>
              <w:textAlignment w:val="baseline"/>
              <w:rPr>
                <w:rFonts w:ascii="Times New Roman" w:eastAsia="SimSun" w:hAnsi="Times New Roman" w:cs="Times New Roman"/>
                <w:bCs/>
                <w:color w:val="FF0000"/>
                <w:kern w:val="3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2. </w:t>
            </w:r>
            <w:r w:rsidR="00AF2B2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 същите съображения, поради което не е прието аналогичното предложение на Висшия съдебен съвет</w:t>
            </w:r>
            <w:r w:rsidR="00270EE1" w:rsidRPr="0094531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:rsidR="00270EE1" w:rsidRDefault="00270EE1" w:rsidP="00270EE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color w:val="FF0000"/>
                <w:kern w:val="3"/>
                <w:sz w:val="24"/>
                <w:szCs w:val="24"/>
                <w:lang w:val="bg-BG" w:eastAsia="ar-SA"/>
              </w:rPr>
            </w:pPr>
          </w:p>
          <w:p w:rsidR="00270EE1" w:rsidRPr="00823E0F" w:rsidRDefault="00823E0F" w:rsidP="00823E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 xml:space="preserve">3. </w:t>
            </w:r>
            <w:r w:rsidR="00270EE1" w:rsidRPr="00823E0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>Отразено в проекта.</w:t>
            </w:r>
          </w:p>
          <w:p w:rsidR="008D68E0" w:rsidRDefault="00872BC3" w:rsidP="008D68E0">
            <w:pPr>
              <w:pStyle w:val="ListParagraph"/>
              <w:suppressAutoHyphens/>
              <w:autoSpaceDN w:val="0"/>
              <w:spacing w:after="0" w:line="240" w:lineRule="auto"/>
              <w:ind w:left="751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  <w:r w:rsidRPr="00872BC3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 xml:space="preserve"> </w:t>
            </w:r>
          </w:p>
          <w:p w:rsidR="008D68E0" w:rsidRDefault="008D68E0" w:rsidP="008D68E0">
            <w:pPr>
              <w:pStyle w:val="ListParagraph"/>
              <w:suppressAutoHyphens/>
              <w:autoSpaceDN w:val="0"/>
              <w:spacing w:after="0" w:line="240" w:lineRule="auto"/>
              <w:ind w:left="751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8D68E0" w:rsidRDefault="008D68E0" w:rsidP="008D68E0">
            <w:pPr>
              <w:pStyle w:val="ListParagraph"/>
              <w:suppressAutoHyphens/>
              <w:autoSpaceDN w:val="0"/>
              <w:spacing w:after="0" w:line="240" w:lineRule="auto"/>
              <w:ind w:left="751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8D68E0" w:rsidRDefault="008D68E0" w:rsidP="008D68E0">
            <w:pPr>
              <w:pStyle w:val="ListParagraph"/>
              <w:suppressAutoHyphens/>
              <w:autoSpaceDN w:val="0"/>
              <w:spacing w:after="0" w:line="240" w:lineRule="auto"/>
              <w:ind w:left="751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47209A" w:rsidRPr="00066136" w:rsidRDefault="00823E0F" w:rsidP="00823E0F">
            <w:pPr>
              <w:pStyle w:val="ListParagraph"/>
              <w:suppressAutoHyphens/>
              <w:autoSpaceDN w:val="0"/>
              <w:spacing w:after="0" w:line="240" w:lineRule="auto"/>
              <w:ind w:left="33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 xml:space="preserve">4. </w:t>
            </w:r>
            <w:r w:rsidR="008442A9" w:rsidRPr="00066136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 xml:space="preserve">В хипотезите, различни от заявител – банка, и документ - </w:t>
            </w:r>
            <w:proofErr w:type="spellStart"/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>ценна</w:t>
            </w:r>
            <w:proofErr w:type="spellEnd"/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="008442A9" w:rsidRPr="000661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>обезпечава</w:t>
            </w:r>
            <w:proofErr w:type="spellEnd"/>
            <w:r w:rsidR="00066136" w:rsidRPr="000661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</w:t>
            </w:r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>вземане</w:t>
            </w:r>
            <w:proofErr w:type="spellEnd"/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>произтичащо</w:t>
            </w:r>
            <w:proofErr w:type="spellEnd"/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>сключен</w:t>
            </w:r>
            <w:proofErr w:type="spellEnd"/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8442A9" w:rsidRPr="00066136">
              <w:rPr>
                <w:rFonts w:ascii="Times New Roman" w:hAnsi="Times New Roman" w:cs="Times New Roman"/>
                <w:sz w:val="24"/>
                <w:szCs w:val="24"/>
              </w:rPr>
              <w:t>потребител</w:t>
            </w:r>
            <w:proofErr w:type="spellEnd"/>
            <w:r w:rsidR="008442A9" w:rsidRPr="0006613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ще се прилага само т. 1.</w:t>
            </w:r>
          </w:p>
          <w:p w:rsidR="0047209A" w:rsidRPr="00066136" w:rsidRDefault="0047209A" w:rsidP="0047209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5746CC" w:rsidRDefault="005746CC" w:rsidP="0047209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color w:val="FF0000"/>
                <w:kern w:val="3"/>
                <w:sz w:val="24"/>
                <w:szCs w:val="24"/>
                <w:lang w:val="bg-BG" w:eastAsia="ar-SA"/>
              </w:rPr>
            </w:pPr>
          </w:p>
          <w:p w:rsidR="0047209A" w:rsidRPr="00823E0F" w:rsidRDefault="00823E0F" w:rsidP="00823E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 xml:space="preserve">5. </w:t>
            </w:r>
            <w:r w:rsidR="005746CC" w:rsidRPr="00823E0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>Отразено в проекта.</w:t>
            </w:r>
          </w:p>
          <w:p w:rsidR="00F66343" w:rsidRDefault="00F66343" w:rsidP="00F6634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2070C1" w:rsidRDefault="002070C1" w:rsidP="00F6634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2070C1" w:rsidRDefault="002070C1" w:rsidP="00F6634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5746CC" w:rsidRDefault="005746CC" w:rsidP="00F6634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5746CC" w:rsidRDefault="005746CC" w:rsidP="00F6634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5746CC" w:rsidRDefault="005746CC" w:rsidP="00F6634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2070C1" w:rsidRPr="00823E0F" w:rsidRDefault="00823E0F" w:rsidP="00823E0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 xml:space="preserve">6. </w:t>
            </w:r>
            <w:r w:rsidR="00804DEE" w:rsidRPr="00823E0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>С образците по наредбата не може да се променя установения</w:t>
            </w:r>
            <w:r w:rsidR="00066136" w:rsidRPr="00823E0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>т</w:t>
            </w:r>
            <w:r w:rsidR="00804DEE" w:rsidRPr="00823E0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 xml:space="preserve"> в ГПК нач</w:t>
            </w:r>
            <w:r w:rsidR="00525B63" w:rsidRPr="00823E0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 xml:space="preserve">ин на призоваване и съобщения. </w:t>
            </w:r>
            <w:r w:rsidR="00804DEE" w:rsidRPr="00823E0F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>В случай че става въпрос за организация на тази дейност, то тя е в компетентност на съдилищата.</w:t>
            </w:r>
          </w:p>
        </w:tc>
      </w:tr>
      <w:tr w:rsidR="000933C6" w:rsidRPr="00877F72" w:rsidTr="00C83FFF">
        <w:trPr>
          <w:trHeight w:val="20"/>
        </w:trPr>
        <w:tc>
          <w:tcPr>
            <w:tcW w:w="2297" w:type="dxa"/>
          </w:tcPr>
          <w:p w:rsidR="00A12C71" w:rsidRDefault="00E247E2" w:rsidP="00955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lastRenderedPageBreak/>
              <w:t>Адвокатско дружество „Василев и партньори“</w:t>
            </w:r>
          </w:p>
        </w:tc>
        <w:tc>
          <w:tcPr>
            <w:tcW w:w="6379" w:type="dxa"/>
          </w:tcPr>
          <w:p w:rsidR="00A12C71" w:rsidRDefault="00E247E2" w:rsidP="007A24A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Приложение № 8 преди текста „</w:t>
            </w:r>
            <w:r w:rsidR="00097488" w:rsidRPr="0009748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съм дал повод за предявяване на вземането,  поради което не дължа разноски за</w:t>
            </w:r>
            <w:r w:rsidR="005746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097488" w:rsidRPr="0009748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производството. Възражението ми прои</w:t>
            </w:r>
            <w:r w:rsidR="0009748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зтича от следните обстоятелства:“ да се добави квадратче за отбелязване на приложимостта на този текст, като в т. 2 от указанията за попълване на приложението бъде променена по следния начин: „</w:t>
            </w:r>
            <w:r w:rsidR="00097488" w:rsidRPr="0009748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Ако с поведението си не сте дали повод за предявяване на вземането, можете да възразите, че не дъл</w:t>
            </w:r>
            <w:r w:rsidR="0009748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жите разноски за производството, чрез отбелязване със знак „Х“ в квадратчето пред съответния текст. </w:t>
            </w:r>
            <w:r w:rsidR="00097488" w:rsidRPr="0009748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Това възражение също трябва да бъде обосновано.</w:t>
            </w:r>
            <w:r w:rsidR="0009748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“</w:t>
            </w:r>
          </w:p>
          <w:p w:rsidR="00A12C71" w:rsidRDefault="00A12C71" w:rsidP="007A24A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A24AB" w:rsidRPr="007A24AB" w:rsidRDefault="007A24AB" w:rsidP="000C0B08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85" w:type="dxa"/>
          </w:tcPr>
          <w:p w:rsidR="00A12C71" w:rsidRPr="00020CC1" w:rsidRDefault="00020CC1" w:rsidP="00020CC1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020CC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се приема.</w:t>
            </w:r>
          </w:p>
          <w:p w:rsidR="00A12C71" w:rsidRDefault="00A12C71" w:rsidP="0000490D">
            <w:pPr>
              <w:pStyle w:val="ListParagraph"/>
              <w:widowControl w:val="0"/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12C71" w:rsidRDefault="00A12C71" w:rsidP="0000490D">
            <w:pPr>
              <w:pStyle w:val="ListParagraph"/>
              <w:widowControl w:val="0"/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12C71" w:rsidRDefault="00A12C71" w:rsidP="0000490D">
            <w:pPr>
              <w:pStyle w:val="ListParagraph"/>
              <w:widowControl w:val="0"/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12C71" w:rsidRDefault="00A12C71" w:rsidP="0000490D">
            <w:pPr>
              <w:pStyle w:val="ListParagraph"/>
              <w:widowControl w:val="0"/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12C71" w:rsidRDefault="00A12C71" w:rsidP="0000490D">
            <w:pPr>
              <w:pStyle w:val="ListParagraph"/>
              <w:widowControl w:val="0"/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12C71" w:rsidRDefault="00A12C71" w:rsidP="0000490D">
            <w:pPr>
              <w:pStyle w:val="ListParagraph"/>
              <w:widowControl w:val="0"/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12C71" w:rsidRDefault="00A12C71" w:rsidP="0000490D">
            <w:pPr>
              <w:pStyle w:val="ListParagraph"/>
              <w:widowControl w:val="0"/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12C71" w:rsidRDefault="00A12C71" w:rsidP="0000490D">
            <w:pPr>
              <w:pStyle w:val="ListParagraph"/>
              <w:widowControl w:val="0"/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12C71" w:rsidRDefault="00A12C71" w:rsidP="0000490D">
            <w:pPr>
              <w:pStyle w:val="ListParagraph"/>
              <w:widowControl w:val="0"/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631E5" w:rsidRPr="000933C6" w:rsidRDefault="007631E5" w:rsidP="000C0B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116" w:type="dxa"/>
          </w:tcPr>
          <w:p w:rsidR="00A12C71" w:rsidRPr="007631E5" w:rsidRDefault="00020CC1" w:rsidP="00020CC1">
            <w:pPr>
              <w:pStyle w:val="ListParagraph"/>
              <w:suppressAutoHyphens/>
              <w:autoSpaceDN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  <w:r w:rsidRPr="00020CC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>Предложената в проекта на нормативен акт формулировка е достатъчно ясна и не създава затруднения за упражняване на процесуалните права на длъжниците.</w:t>
            </w:r>
          </w:p>
        </w:tc>
      </w:tr>
      <w:tr w:rsidR="000933C6" w:rsidRPr="00877F72" w:rsidTr="00C83FFF">
        <w:trPr>
          <w:trHeight w:val="20"/>
        </w:trPr>
        <w:tc>
          <w:tcPr>
            <w:tcW w:w="2297" w:type="dxa"/>
          </w:tcPr>
          <w:p w:rsidR="000933C6" w:rsidRDefault="00B949BC" w:rsidP="00955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Румен Иванов Симеонов</w:t>
            </w:r>
          </w:p>
        </w:tc>
        <w:tc>
          <w:tcPr>
            <w:tcW w:w="6379" w:type="dxa"/>
          </w:tcPr>
          <w:p w:rsidR="000933C6" w:rsidRPr="007254E5" w:rsidRDefault="007254E5" w:rsidP="007254E5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1. </w:t>
            </w:r>
            <w:r w:rsidR="00FA0B0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Да не се одобрява проекта на наредба, докато не бъде отменена от Министерския съвет</w:t>
            </w:r>
            <w:r w:rsidR="00B3166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п</w:t>
            </w:r>
            <w:r w:rsidR="007C17D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о </w:t>
            </w:r>
            <w:r w:rsidR="00B3166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силата на чл. 107 от К</w:t>
            </w:r>
            <w:r w:rsidR="007C17D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онституцията на Република България, тъй като министърът на правосъдието няма компетентност за издаването н</w:t>
            </w:r>
            <w:r w:rsidR="00B3166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 нова наредба.</w:t>
            </w:r>
          </w:p>
          <w:p w:rsidR="007F7673" w:rsidRDefault="007F7673" w:rsidP="007F7673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Default="007F7673" w:rsidP="007F7673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Default="007F7673" w:rsidP="007F7673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Default="007F7673" w:rsidP="007F7673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Default="007F7673" w:rsidP="007F7673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Default="007F7673" w:rsidP="007F7673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Default="007F7673" w:rsidP="007F7673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Default="007F7673" w:rsidP="007F7673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Default="007F7673" w:rsidP="007F7673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254E5" w:rsidRDefault="007254E5" w:rsidP="007254E5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2. </w:t>
            </w:r>
            <w:r w:rsidR="008B010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Приложение № 1 към чл. 3 и Приложение № 4 към чл. 5 не са спазени изискванията на чл. 410, ал. 2 от ГПК, препращащи към чл. 127, ал. 1 и 3 и чл. 128, т. 1 и 2.</w:t>
            </w:r>
          </w:p>
          <w:p w:rsidR="007254E5" w:rsidRDefault="007254E5" w:rsidP="007254E5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254E5" w:rsidRDefault="007254E5" w:rsidP="007254E5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254E5" w:rsidRDefault="007254E5" w:rsidP="007254E5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254E5" w:rsidRDefault="007254E5" w:rsidP="007254E5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6757DB" w:rsidRDefault="007254E5" w:rsidP="006C0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3. </w:t>
            </w:r>
            <w:r w:rsidR="006C0C5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В Приложение № 2 към чл. 4 и в Приложение № 3 към чл. 4 изречението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</w:t>
            </w:r>
            <w:r w:rsidR="006C0C5D" w:rsidRPr="006C0C5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Тази инфо</w:t>
            </w:r>
            <w:r w:rsidR="006C0C5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рмация не е проверявана от съда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.“</w:t>
            </w:r>
            <w:r w:rsidR="006C0C5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не е в съответствие със задължението на съда да проверява наличието на неравноправна клауза в договор, сключен с потребител или обоснована вероятност за това.</w:t>
            </w:r>
          </w:p>
          <w:p w:rsidR="009E69FB" w:rsidRDefault="00965D20" w:rsidP="006757D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4.</w:t>
            </w:r>
            <w:r w:rsidR="006C0C5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В Приложение № 5 към чл. 6 и Приложение № 6 към чл. 6 текстът </w:t>
            </w:r>
            <w:r w:rsidR="001D7BA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„</w:t>
            </w:r>
            <w:r w:rsidR="001D7BAD" w:rsidRPr="001D7BA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Настоящата заповед е издадена въз основа на представен от кредитора документ, който е редовен от външна страна и удостоверява присъденото вземане. Копие от този документ е приложен към заповедта.</w:t>
            </w:r>
            <w:r w:rsidR="001D7BA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“</w:t>
            </w:r>
            <w:r w:rsidR="001D7BAD">
              <w:t xml:space="preserve"> </w:t>
            </w:r>
            <w:r w:rsidR="001D7BAD" w:rsidRPr="001D7BA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в съответствие със задължението на съда да проверява наличието на неравноправна клауза в договор, сключен с потребител или обоснована вероятност за това.</w:t>
            </w:r>
          </w:p>
          <w:p w:rsidR="009E69FB" w:rsidRDefault="009E69FB" w:rsidP="006757D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E69FB" w:rsidRDefault="009E69FB" w:rsidP="006757D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5.</w:t>
            </w:r>
            <w:r w:rsidR="001D7BA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В приложение № 7 към текста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“</w:t>
            </w:r>
            <w:r w:rsidR="001D7BAD" w:rsidRPr="001D7BA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Обосноваване на възражението не се изисква, затова не е необходимо попълването на никакви данни.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“</w:t>
            </w:r>
            <w:r w:rsidR="001D7BA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Да се добави че ако ответникът избере да посочи възражения, те ще бъдат разгледани все едно, че са част от последващ </w:t>
            </w:r>
            <w:proofErr w:type="spellStart"/>
            <w:r w:rsidR="001D7BA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отгово</w:t>
            </w:r>
            <w:proofErr w:type="spellEnd"/>
            <w:r w:rsidR="001D7BA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на искова молба.</w:t>
            </w:r>
          </w:p>
          <w:p w:rsidR="009E69FB" w:rsidRPr="007254E5" w:rsidRDefault="009E69FB" w:rsidP="006757DB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254E5" w:rsidRPr="007254E5" w:rsidRDefault="007254E5" w:rsidP="007254E5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85" w:type="dxa"/>
          </w:tcPr>
          <w:p w:rsidR="007F7673" w:rsidRDefault="00074DAB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 xml:space="preserve">1. </w:t>
            </w:r>
            <w:r w:rsidR="00B3166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Не се приема. </w:t>
            </w:r>
          </w:p>
          <w:p w:rsidR="007F7673" w:rsidRDefault="007F767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Default="007F767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Default="007F767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Default="007F767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Default="007F767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Default="007F767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Default="007F767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Default="007F767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B010D" w:rsidRDefault="008B010D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B010D" w:rsidRDefault="008B010D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B010D" w:rsidRDefault="008B010D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B010D" w:rsidRDefault="008B010D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8B010D" w:rsidRDefault="008B010D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F7673" w:rsidRPr="007254E5" w:rsidRDefault="007254E5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2. </w:t>
            </w:r>
            <w:r w:rsidR="007F7673" w:rsidRPr="007254E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се приема.</w:t>
            </w:r>
          </w:p>
          <w:p w:rsidR="007254E5" w:rsidRDefault="007254E5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254E5" w:rsidRDefault="007254E5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254E5" w:rsidRDefault="007254E5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254E5" w:rsidRDefault="007254E5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254E5" w:rsidRDefault="007254E5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254E5" w:rsidRDefault="007254E5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254E5" w:rsidRDefault="007254E5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3.</w:t>
            </w:r>
            <w:r w:rsidR="00134635" w:rsidRPr="0013463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="009567A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</w:t>
            </w:r>
            <w:r w:rsidR="00134635" w:rsidRPr="0013463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риема</w:t>
            </w:r>
            <w:r w:rsidR="009567A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се по принцип</w:t>
            </w:r>
            <w:r w:rsidR="00134635" w:rsidRPr="0013463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:rsidR="009E69FB" w:rsidRDefault="009E69FB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E69FB" w:rsidRDefault="009E69FB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E69FB" w:rsidRDefault="009E69FB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E69FB" w:rsidRDefault="009E69FB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E69FB" w:rsidRDefault="009E69FB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E69FB" w:rsidRDefault="009E69FB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4. </w:t>
            </w:r>
            <w:r w:rsidR="007D2B9D" w:rsidRPr="0013463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се приема.</w:t>
            </w:r>
          </w:p>
          <w:p w:rsidR="009E69FB" w:rsidRDefault="009E69FB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E69FB" w:rsidRDefault="009E69FB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E69FB" w:rsidRDefault="009E69FB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E69FB" w:rsidRDefault="009E69FB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E69FB" w:rsidRDefault="009E69FB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E69FB" w:rsidRDefault="009E69FB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E69FB" w:rsidRDefault="009E69FB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7D2B9D" w:rsidRDefault="007D2B9D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E69FB" w:rsidRPr="00134635" w:rsidRDefault="009E69FB" w:rsidP="007254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463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5. Не се приема.</w:t>
            </w:r>
          </w:p>
          <w:p w:rsidR="007F7673" w:rsidRDefault="007F7673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116" w:type="dxa"/>
          </w:tcPr>
          <w:p w:rsidR="000933C6" w:rsidRDefault="00885C38" w:rsidP="00F6634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lastRenderedPageBreak/>
              <w:t xml:space="preserve">1. </w:t>
            </w:r>
            <w:r w:rsidR="00B3166D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 xml:space="preserve">В чл. 425, ал. 1 от ГПК се съдържа делегация за издаване от министъра на правосъдието на наредба за </w:t>
            </w:r>
            <w:r w:rsidR="00B3166D" w:rsidRPr="00B3166D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>образци на заповед за изпълнение, заявление за издаване на заповед за изпълнение и другите книжа във връзка със заповедното производство</w:t>
            </w:r>
            <w:r w:rsidR="00B3166D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 xml:space="preserve">. В зависимост от многобройността и </w:t>
            </w:r>
            <w:r w:rsidR="008B010D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>важно</w:t>
            </w:r>
            <w:r w:rsidR="00B3166D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 xml:space="preserve">стта на промените компетентният орган преценява дали </w:t>
            </w:r>
            <w:r w:rsidR="00B3166D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lastRenderedPageBreak/>
              <w:t xml:space="preserve">да предприеме промяна на нормативния акт или да </w:t>
            </w:r>
            <w:r w:rsidR="00B3166D" w:rsidRPr="00B3166D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>.</w:t>
            </w:r>
            <w:r w:rsidR="008B010D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>го отмени и замени с нов – чл. 11 от Закона за нормативните актове.</w:t>
            </w:r>
          </w:p>
          <w:p w:rsidR="007254E5" w:rsidRDefault="007F7673" w:rsidP="007254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  <w:r w:rsidRPr="00A7765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>2.</w:t>
            </w:r>
            <w:r w:rsidRPr="00A7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6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Всички реквизити</w:t>
            </w:r>
            <w:r w:rsidR="00A77651" w:rsidRPr="00A776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посочени в цитираните текстове, са възпроизведени в </w:t>
            </w:r>
            <w:r w:rsidR="00A776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образците на заявления</w:t>
            </w:r>
            <w:r w:rsidR="00A77651" w:rsidRPr="00A776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A77651" w:rsidRPr="00A77651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 xml:space="preserve"> </w:t>
            </w:r>
          </w:p>
          <w:p w:rsidR="006C0C5D" w:rsidRDefault="006C0C5D" w:rsidP="007254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6C0C5D" w:rsidRDefault="006C0C5D" w:rsidP="007254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6C0C5D" w:rsidRPr="00A77651" w:rsidRDefault="006C0C5D" w:rsidP="007254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6C0C5D" w:rsidRPr="00134635" w:rsidRDefault="007254E5" w:rsidP="00134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463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3. </w:t>
            </w:r>
            <w:r w:rsidR="009567A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Отразено след редакция</w:t>
            </w:r>
            <w:r w:rsidR="00134635" w:rsidRPr="0013463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:rsidR="006C0C5D" w:rsidRDefault="006C0C5D" w:rsidP="007254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6C0C5D" w:rsidRDefault="006C0C5D" w:rsidP="007254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6C0C5D" w:rsidRDefault="006C0C5D" w:rsidP="007254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9567A1" w:rsidRDefault="009567A1" w:rsidP="007254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9567A1" w:rsidRDefault="009567A1" w:rsidP="007254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9E69FB" w:rsidRPr="00134635" w:rsidRDefault="009E69FB" w:rsidP="007254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  <w:r w:rsidRPr="00134635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 xml:space="preserve">4. </w:t>
            </w:r>
            <w:r w:rsidR="007D2B9D" w:rsidRPr="00134635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>Текстът следва разпоредбата на чл. 418, ал. 1, изр. второ. ГПК.</w:t>
            </w:r>
          </w:p>
          <w:p w:rsidR="009E69FB" w:rsidRDefault="009E69FB" w:rsidP="007254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2E1D82" w:rsidRDefault="002E1D82" w:rsidP="00DC312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1D7BAD" w:rsidRDefault="001D7BAD" w:rsidP="00DC312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1D7BAD" w:rsidRDefault="001D7BAD" w:rsidP="00DC312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1D7BAD" w:rsidRDefault="001D7BAD" w:rsidP="00DC312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1D7BAD" w:rsidRDefault="001D7BAD" w:rsidP="00DC312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1D7BAD" w:rsidRDefault="001D7BAD" w:rsidP="00DC312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  <w:p w:rsidR="009E69FB" w:rsidRDefault="009E69FB" w:rsidP="001D7BA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 xml:space="preserve">5. </w:t>
            </w:r>
            <w:r w:rsidR="001D7BAD" w:rsidRPr="00134635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  <w:t>В ГПК не е предвиден такъв процесуален ред.</w:t>
            </w:r>
          </w:p>
        </w:tc>
      </w:tr>
      <w:tr w:rsidR="00715B6C" w:rsidRPr="00877F72" w:rsidTr="00C83FFF">
        <w:trPr>
          <w:trHeight w:val="20"/>
        </w:trPr>
        <w:tc>
          <w:tcPr>
            <w:tcW w:w="2297" w:type="dxa"/>
          </w:tcPr>
          <w:p w:rsidR="00715B6C" w:rsidRPr="00715B6C" w:rsidRDefault="00715B6C" w:rsidP="00955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6379" w:type="dxa"/>
          </w:tcPr>
          <w:p w:rsidR="00715B6C" w:rsidRDefault="00715B6C" w:rsidP="00715B6C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85" w:type="dxa"/>
          </w:tcPr>
          <w:p w:rsidR="00715B6C" w:rsidRDefault="00715B6C" w:rsidP="00931F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116" w:type="dxa"/>
          </w:tcPr>
          <w:p w:rsidR="00715B6C" w:rsidRDefault="00715B6C" w:rsidP="00715B6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val="bg-BG" w:eastAsia="ar-SA"/>
              </w:rPr>
            </w:pPr>
          </w:p>
        </w:tc>
      </w:tr>
    </w:tbl>
    <w:p w:rsidR="002E1D82" w:rsidRDefault="002E1D82" w:rsidP="002E1D8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2E1D82" w:rsidRDefault="002E1D82" w:rsidP="002E1D8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2E1D82">
        <w:rPr>
          <w:rFonts w:ascii="Times New Roman" w:hAnsi="Times New Roman" w:cs="Times New Roman"/>
          <w:b/>
          <w:sz w:val="20"/>
          <w:szCs w:val="20"/>
          <w:lang w:val="bg-BG"/>
        </w:rPr>
        <w:t>Съгласували:</w:t>
      </w:r>
    </w:p>
    <w:p w:rsidR="002E1D82" w:rsidRPr="002E1D82" w:rsidRDefault="002E1D82" w:rsidP="002E1D8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bg-BG"/>
        </w:rPr>
      </w:pPr>
      <w:r w:rsidRPr="002E1D82">
        <w:rPr>
          <w:rFonts w:ascii="Times New Roman" w:hAnsi="Times New Roman" w:cs="Times New Roman"/>
          <w:sz w:val="20"/>
          <w:szCs w:val="20"/>
          <w:lang w:val="bg-BG"/>
        </w:rPr>
        <w:t xml:space="preserve">Десислава </w:t>
      </w:r>
      <w:proofErr w:type="spellStart"/>
      <w:r w:rsidRPr="002E1D82">
        <w:rPr>
          <w:rFonts w:ascii="Times New Roman" w:hAnsi="Times New Roman" w:cs="Times New Roman"/>
          <w:sz w:val="20"/>
          <w:szCs w:val="20"/>
          <w:lang w:val="bg-BG"/>
        </w:rPr>
        <w:t>Ахладова</w:t>
      </w:r>
      <w:proofErr w:type="spellEnd"/>
      <w:r w:rsidRPr="002E1D82">
        <w:rPr>
          <w:rFonts w:ascii="Times New Roman" w:hAnsi="Times New Roman" w:cs="Times New Roman"/>
          <w:sz w:val="20"/>
          <w:szCs w:val="20"/>
          <w:lang w:val="bg-BG"/>
        </w:rPr>
        <w:t xml:space="preserve"> – заместник-министър:</w:t>
      </w:r>
    </w:p>
    <w:p w:rsidR="002E1D82" w:rsidRDefault="002E1D82" w:rsidP="002E1D8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bg-BG"/>
        </w:rPr>
      </w:pPr>
      <w:r w:rsidRPr="002E1D82">
        <w:rPr>
          <w:rFonts w:ascii="Times New Roman" w:hAnsi="Times New Roman" w:cs="Times New Roman"/>
          <w:sz w:val="20"/>
          <w:szCs w:val="20"/>
          <w:lang w:val="bg-BG"/>
        </w:rPr>
        <w:t>Евгени Стоянов – заместник-министър:</w:t>
      </w:r>
    </w:p>
    <w:p w:rsidR="00EF5124" w:rsidRPr="00EF5124" w:rsidRDefault="00EF5124" w:rsidP="002E1D8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Б. </w:t>
      </w:r>
      <w:proofErr w:type="spellStart"/>
      <w:r>
        <w:rPr>
          <w:rFonts w:ascii="Times New Roman" w:hAnsi="Times New Roman" w:cs="Times New Roman"/>
          <w:sz w:val="20"/>
          <w:szCs w:val="20"/>
          <w:lang w:val="bg-BG"/>
        </w:rPr>
        <w:t>Белякова</w:t>
      </w:r>
      <w:proofErr w:type="spellEnd"/>
      <w:r>
        <w:rPr>
          <w:rFonts w:ascii="Times New Roman" w:hAnsi="Times New Roman" w:cs="Times New Roman"/>
          <w:sz w:val="20"/>
          <w:szCs w:val="20"/>
          <w:lang w:val="bg-BG"/>
        </w:rPr>
        <w:t xml:space="preserve"> – директор на дирекция „МПСЕВ“:</w:t>
      </w:r>
      <w:bookmarkStart w:id="0" w:name="_GoBack"/>
      <w:bookmarkEnd w:id="0"/>
    </w:p>
    <w:p w:rsidR="002E1D82" w:rsidRPr="002E1D82" w:rsidRDefault="002E1D82" w:rsidP="002E1D8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bg-BG"/>
        </w:rPr>
      </w:pPr>
      <w:r w:rsidRPr="002E1D82">
        <w:rPr>
          <w:rFonts w:ascii="Times New Roman" w:hAnsi="Times New Roman" w:cs="Times New Roman"/>
          <w:sz w:val="20"/>
          <w:szCs w:val="20"/>
          <w:lang w:val="bg-BG"/>
        </w:rPr>
        <w:t>Л. Талев – директор на дирекция ,,СЗ‘‘:</w:t>
      </w:r>
    </w:p>
    <w:p w:rsidR="002E1D82" w:rsidRPr="002E1D82" w:rsidRDefault="002E1D82" w:rsidP="002E1D82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2E1D82">
        <w:rPr>
          <w:rFonts w:ascii="Times New Roman" w:hAnsi="Times New Roman" w:cs="Times New Roman"/>
          <w:b/>
          <w:sz w:val="20"/>
          <w:szCs w:val="20"/>
          <w:lang w:val="bg-BG"/>
        </w:rPr>
        <w:t>Изготвил:</w:t>
      </w:r>
    </w:p>
    <w:p w:rsidR="008211F8" w:rsidRPr="002E1D82" w:rsidRDefault="002E1D82" w:rsidP="002E1D8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bg-BG"/>
        </w:rPr>
      </w:pPr>
      <w:r w:rsidRPr="002E1D82">
        <w:rPr>
          <w:rFonts w:ascii="Times New Roman" w:hAnsi="Times New Roman" w:cs="Times New Roman"/>
          <w:sz w:val="20"/>
          <w:szCs w:val="20"/>
          <w:lang w:val="bg-BG"/>
        </w:rPr>
        <w:t xml:space="preserve">Д. </w:t>
      </w:r>
      <w:proofErr w:type="spellStart"/>
      <w:r w:rsidRPr="002E1D82">
        <w:rPr>
          <w:rFonts w:ascii="Times New Roman" w:hAnsi="Times New Roman" w:cs="Times New Roman"/>
          <w:sz w:val="20"/>
          <w:szCs w:val="20"/>
          <w:lang w:val="bg-BG"/>
        </w:rPr>
        <w:t>Белчина</w:t>
      </w:r>
      <w:proofErr w:type="spellEnd"/>
      <w:r w:rsidRPr="002E1D82">
        <w:rPr>
          <w:rFonts w:ascii="Times New Roman" w:hAnsi="Times New Roman" w:cs="Times New Roman"/>
          <w:sz w:val="20"/>
          <w:szCs w:val="20"/>
          <w:lang w:val="bg-BG"/>
        </w:rPr>
        <w:t xml:space="preserve"> – държавен експерт в дирекция “СЗ“:</w:t>
      </w:r>
    </w:p>
    <w:sectPr w:rsidR="008211F8" w:rsidRPr="002E1D82" w:rsidSect="00070B66">
      <w:headerReference w:type="even" r:id="rId8"/>
      <w:headerReference w:type="default" r:id="rId9"/>
      <w:footerReference w:type="default" r:id="rId10"/>
      <w:pgSz w:w="16840" w:h="11907" w:orient="landscape" w:code="9"/>
      <w:pgMar w:top="426" w:right="1440" w:bottom="851" w:left="1440" w:header="708" w:footer="5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DB" w:rsidRDefault="005A54DB">
      <w:pPr>
        <w:spacing w:after="0" w:line="240" w:lineRule="auto"/>
      </w:pPr>
      <w:r>
        <w:separator/>
      </w:r>
    </w:p>
  </w:endnote>
  <w:endnote w:type="continuationSeparator" w:id="0">
    <w:p w:rsidR="005A54DB" w:rsidRDefault="005A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126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3FE" w:rsidRDefault="000913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F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913FE" w:rsidRDefault="000913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DB" w:rsidRDefault="005A54DB">
      <w:pPr>
        <w:spacing w:after="0" w:line="240" w:lineRule="auto"/>
      </w:pPr>
      <w:r>
        <w:separator/>
      </w:r>
    </w:p>
  </w:footnote>
  <w:footnote w:type="continuationSeparator" w:id="0">
    <w:p w:rsidR="005A54DB" w:rsidRDefault="005A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F56" w:rsidRDefault="00CA738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5F56" w:rsidRDefault="00F00FA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F56" w:rsidRPr="000913FE" w:rsidRDefault="00F00FA4">
    <w:pPr>
      <w:pStyle w:val="Header"/>
      <w:framePr w:wrap="around" w:vAnchor="text" w:hAnchor="margin" w:xAlign="right" w:y="1"/>
      <w:rPr>
        <w:rStyle w:val="PageNumber"/>
        <w:lang w:val="bg-BG"/>
      </w:rPr>
    </w:pPr>
  </w:p>
  <w:p w:rsidR="00F55F56" w:rsidRDefault="00F00FA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00D0"/>
    <w:multiLevelType w:val="hybridMultilevel"/>
    <w:tmpl w:val="7AB02B0E"/>
    <w:lvl w:ilvl="0" w:tplc="BF3A8C72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032E2CF3"/>
    <w:multiLevelType w:val="hybridMultilevel"/>
    <w:tmpl w:val="D0A26C6A"/>
    <w:lvl w:ilvl="0" w:tplc="B90EBF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583E"/>
    <w:multiLevelType w:val="hybridMultilevel"/>
    <w:tmpl w:val="CEFE9056"/>
    <w:lvl w:ilvl="0" w:tplc="4E3A9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A609D"/>
    <w:multiLevelType w:val="hybridMultilevel"/>
    <w:tmpl w:val="A8625F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C71"/>
    <w:multiLevelType w:val="hybridMultilevel"/>
    <w:tmpl w:val="6D50051A"/>
    <w:lvl w:ilvl="0" w:tplc="C7FC9DE2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1DAE4CE3"/>
    <w:multiLevelType w:val="hybridMultilevel"/>
    <w:tmpl w:val="B7F26A94"/>
    <w:lvl w:ilvl="0" w:tplc="040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20FE70E0"/>
    <w:multiLevelType w:val="hybridMultilevel"/>
    <w:tmpl w:val="689EEE6C"/>
    <w:lvl w:ilvl="0" w:tplc="D1CE6F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7F52EA6"/>
    <w:multiLevelType w:val="hybridMultilevel"/>
    <w:tmpl w:val="456EDEDC"/>
    <w:lvl w:ilvl="0" w:tplc="F74CC5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936A6"/>
    <w:multiLevelType w:val="hybridMultilevel"/>
    <w:tmpl w:val="CBCC0346"/>
    <w:lvl w:ilvl="0" w:tplc="F24E25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E44530"/>
    <w:multiLevelType w:val="hybridMultilevel"/>
    <w:tmpl w:val="A59CBDFC"/>
    <w:lvl w:ilvl="0" w:tplc="BF328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D22E46"/>
    <w:multiLevelType w:val="hybridMultilevel"/>
    <w:tmpl w:val="EC8A0E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55FBD"/>
    <w:multiLevelType w:val="hybridMultilevel"/>
    <w:tmpl w:val="E812A6CE"/>
    <w:lvl w:ilvl="0" w:tplc="577A374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40BC2A95"/>
    <w:multiLevelType w:val="hybridMultilevel"/>
    <w:tmpl w:val="81CE2F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B3862"/>
    <w:multiLevelType w:val="hybridMultilevel"/>
    <w:tmpl w:val="1374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36BA"/>
    <w:multiLevelType w:val="hybridMultilevel"/>
    <w:tmpl w:val="95B26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50DE3"/>
    <w:multiLevelType w:val="hybridMultilevel"/>
    <w:tmpl w:val="AB32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035B3"/>
    <w:multiLevelType w:val="hybridMultilevel"/>
    <w:tmpl w:val="E5188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D06CB"/>
    <w:multiLevelType w:val="hybridMultilevel"/>
    <w:tmpl w:val="9BE8BF22"/>
    <w:lvl w:ilvl="0" w:tplc="1CA66E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7817F0"/>
    <w:multiLevelType w:val="multilevel"/>
    <w:tmpl w:val="20BC1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E078B8"/>
    <w:multiLevelType w:val="hybridMultilevel"/>
    <w:tmpl w:val="146A6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92716"/>
    <w:multiLevelType w:val="hybridMultilevel"/>
    <w:tmpl w:val="D8E2FCBA"/>
    <w:lvl w:ilvl="0" w:tplc="81F61D0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1"/>
  </w:num>
  <w:num w:numId="5">
    <w:abstractNumId w:val="6"/>
  </w:num>
  <w:num w:numId="6">
    <w:abstractNumId w:val="18"/>
  </w:num>
  <w:num w:numId="7">
    <w:abstractNumId w:val="3"/>
  </w:num>
  <w:num w:numId="8">
    <w:abstractNumId w:val="7"/>
  </w:num>
  <w:num w:numId="9">
    <w:abstractNumId w:val="20"/>
  </w:num>
  <w:num w:numId="10">
    <w:abstractNumId w:val="19"/>
  </w:num>
  <w:num w:numId="11">
    <w:abstractNumId w:val="9"/>
  </w:num>
  <w:num w:numId="12">
    <w:abstractNumId w:val="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5"/>
  </w:num>
  <w:num w:numId="19">
    <w:abstractNumId w:val="0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87"/>
    <w:rsid w:val="0000490D"/>
    <w:rsid w:val="00011AF8"/>
    <w:rsid w:val="00015111"/>
    <w:rsid w:val="000209A7"/>
    <w:rsid w:val="00020CC1"/>
    <w:rsid w:val="00031690"/>
    <w:rsid w:val="000349E1"/>
    <w:rsid w:val="000479EE"/>
    <w:rsid w:val="00054B4A"/>
    <w:rsid w:val="00054F28"/>
    <w:rsid w:val="00066136"/>
    <w:rsid w:val="00070B66"/>
    <w:rsid w:val="000728C5"/>
    <w:rsid w:val="00073BB2"/>
    <w:rsid w:val="00074DAB"/>
    <w:rsid w:val="00076A38"/>
    <w:rsid w:val="00087816"/>
    <w:rsid w:val="000913FE"/>
    <w:rsid w:val="000933C6"/>
    <w:rsid w:val="00094B0D"/>
    <w:rsid w:val="00097488"/>
    <w:rsid w:val="000A1C76"/>
    <w:rsid w:val="000A5303"/>
    <w:rsid w:val="000A5A48"/>
    <w:rsid w:val="000B5C70"/>
    <w:rsid w:val="000C0B08"/>
    <w:rsid w:val="000C0E75"/>
    <w:rsid w:val="000C104F"/>
    <w:rsid w:val="000C5719"/>
    <w:rsid w:val="000D1D8A"/>
    <w:rsid w:val="000D772D"/>
    <w:rsid w:val="000E2B24"/>
    <w:rsid w:val="000E2E23"/>
    <w:rsid w:val="000F4FEB"/>
    <w:rsid w:val="00101716"/>
    <w:rsid w:val="00101ABE"/>
    <w:rsid w:val="0010291A"/>
    <w:rsid w:val="00105D3D"/>
    <w:rsid w:val="0010624A"/>
    <w:rsid w:val="001117CE"/>
    <w:rsid w:val="00113854"/>
    <w:rsid w:val="00117CCF"/>
    <w:rsid w:val="00134635"/>
    <w:rsid w:val="00145141"/>
    <w:rsid w:val="0015253C"/>
    <w:rsid w:val="0015446C"/>
    <w:rsid w:val="00182ABB"/>
    <w:rsid w:val="0018404F"/>
    <w:rsid w:val="001850A7"/>
    <w:rsid w:val="0019592B"/>
    <w:rsid w:val="00197C47"/>
    <w:rsid w:val="001A0320"/>
    <w:rsid w:val="001A2FAC"/>
    <w:rsid w:val="001B013E"/>
    <w:rsid w:val="001B3F0A"/>
    <w:rsid w:val="001C5B09"/>
    <w:rsid w:val="001C74D4"/>
    <w:rsid w:val="001D1A0E"/>
    <w:rsid w:val="001D3C88"/>
    <w:rsid w:val="001D7BAD"/>
    <w:rsid w:val="001E3287"/>
    <w:rsid w:val="001E3C6A"/>
    <w:rsid w:val="001E3E99"/>
    <w:rsid w:val="001F0220"/>
    <w:rsid w:val="001F16DA"/>
    <w:rsid w:val="001F6AD3"/>
    <w:rsid w:val="001F6CAC"/>
    <w:rsid w:val="001F7BB8"/>
    <w:rsid w:val="00206B8F"/>
    <w:rsid w:val="002070C1"/>
    <w:rsid w:val="00213615"/>
    <w:rsid w:val="0022061D"/>
    <w:rsid w:val="002233BC"/>
    <w:rsid w:val="0022348C"/>
    <w:rsid w:val="002248F0"/>
    <w:rsid w:val="00246A99"/>
    <w:rsid w:val="00246DF6"/>
    <w:rsid w:val="00247D67"/>
    <w:rsid w:val="002571FC"/>
    <w:rsid w:val="00262626"/>
    <w:rsid w:val="00270EE1"/>
    <w:rsid w:val="0027208B"/>
    <w:rsid w:val="00272107"/>
    <w:rsid w:val="002721B4"/>
    <w:rsid w:val="00272937"/>
    <w:rsid w:val="0028026B"/>
    <w:rsid w:val="002843CF"/>
    <w:rsid w:val="0028543C"/>
    <w:rsid w:val="002937B7"/>
    <w:rsid w:val="002963D0"/>
    <w:rsid w:val="002A17C3"/>
    <w:rsid w:val="002B24E5"/>
    <w:rsid w:val="002B7B41"/>
    <w:rsid w:val="002C0A48"/>
    <w:rsid w:val="002C0D47"/>
    <w:rsid w:val="002C2876"/>
    <w:rsid w:val="002D7979"/>
    <w:rsid w:val="002E021B"/>
    <w:rsid w:val="002E1696"/>
    <w:rsid w:val="002E1D82"/>
    <w:rsid w:val="002E32EC"/>
    <w:rsid w:val="002E4473"/>
    <w:rsid w:val="002F0CA3"/>
    <w:rsid w:val="002F3EEA"/>
    <w:rsid w:val="00305F71"/>
    <w:rsid w:val="003167EE"/>
    <w:rsid w:val="0032453C"/>
    <w:rsid w:val="00332634"/>
    <w:rsid w:val="00334221"/>
    <w:rsid w:val="00334DB8"/>
    <w:rsid w:val="003432CA"/>
    <w:rsid w:val="00351CFB"/>
    <w:rsid w:val="00372D77"/>
    <w:rsid w:val="00387862"/>
    <w:rsid w:val="0039364C"/>
    <w:rsid w:val="00396345"/>
    <w:rsid w:val="003A0498"/>
    <w:rsid w:val="003A356B"/>
    <w:rsid w:val="003A3659"/>
    <w:rsid w:val="003B4D6B"/>
    <w:rsid w:val="003C0324"/>
    <w:rsid w:val="003C4185"/>
    <w:rsid w:val="003D30CB"/>
    <w:rsid w:val="003D7F5C"/>
    <w:rsid w:val="003E2C21"/>
    <w:rsid w:val="003E448D"/>
    <w:rsid w:val="003F0F72"/>
    <w:rsid w:val="003F1655"/>
    <w:rsid w:val="003F45D9"/>
    <w:rsid w:val="003F6354"/>
    <w:rsid w:val="00400251"/>
    <w:rsid w:val="004020E9"/>
    <w:rsid w:val="00411E06"/>
    <w:rsid w:val="00413FA4"/>
    <w:rsid w:val="00415EC1"/>
    <w:rsid w:val="00425ACB"/>
    <w:rsid w:val="00437ADA"/>
    <w:rsid w:val="00443574"/>
    <w:rsid w:val="00445068"/>
    <w:rsid w:val="0045091C"/>
    <w:rsid w:val="00453992"/>
    <w:rsid w:val="00464881"/>
    <w:rsid w:val="0047209A"/>
    <w:rsid w:val="0047334A"/>
    <w:rsid w:val="00473D0C"/>
    <w:rsid w:val="00477237"/>
    <w:rsid w:val="004852C8"/>
    <w:rsid w:val="004876C2"/>
    <w:rsid w:val="004902DA"/>
    <w:rsid w:val="00490C6F"/>
    <w:rsid w:val="00495F52"/>
    <w:rsid w:val="00496FEA"/>
    <w:rsid w:val="004A08E0"/>
    <w:rsid w:val="004A1793"/>
    <w:rsid w:val="004A5D27"/>
    <w:rsid w:val="004A68E0"/>
    <w:rsid w:val="004B4695"/>
    <w:rsid w:val="004B6301"/>
    <w:rsid w:val="004C433B"/>
    <w:rsid w:val="004C76F1"/>
    <w:rsid w:val="004C77AA"/>
    <w:rsid w:val="004D45FF"/>
    <w:rsid w:val="004D4E9C"/>
    <w:rsid w:val="004D6C96"/>
    <w:rsid w:val="004E2E93"/>
    <w:rsid w:val="004E35DE"/>
    <w:rsid w:val="004E6115"/>
    <w:rsid w:val="004F1AED"/>
    <w:rsid w:val="004F3B5B"/>
    <w:rsid w:val="00501323"/>
    <w:rsid w:val="00502D95"/>
    <w:rsid w:val="00503737"/>
    <w:rsid w:val="00504718"/>
    <w:rsid w:val="00515267"/>
    <w:rsid w:val="00525B63"/>
    <w:rsid w:val="0052696F"/>
    <w:rsid w:val="0053034E"/>
    <w:rsid w:val="00534DC3"/>
    <w:rsid w:val="005451A7"/>
    <w:rsid w:val="00550EEE"/>
    <w:rsid w:val="00553E40"/>
    <w:rsid w:val="00554807"/>
    <w:rsid w:val="005627E9"/>
    <w:rsid w:val="00572F4E"/>
    <w:rsid w:val="005746CC"/>
    <w:rsid w:val="00581366"/>
    <w:rsid w:val="0058594F"/>
    <w:rsid w:val="00593A22"/>
    <w:rsid w:val="005976EB"/>
    <w:rsid w:val="005A1554"/>
    <w:rsid w:val="005A54DB"/>
    <w:rsid w:val="005A6649"/>
    <w:rsid w:val="005B6B43"/>
    <w:rsid w:val="005C559E"/>
    <w:rsid w:val="005D6B4E"/>
    <w:rsid w:val="005E01B9"/>
    <w:rsid w:val="005E624A"/>
    <w:rsid w:val="005E68BD"/>
    <w:rsid w:val="005F3FE5"/>
    <w:rsid w:val="00612A62"/>
    <w:rsid w:val="006158C3"/>
    <w:rsid w:val="006269E1"/>
    <w:rsid w:val="00626E92"/>
    <w:rsid w:val="00627FD0"/>
    <w:rsid w:val="006329A5"/>
    <w:rsid w:val="00632B9B"/>
    <w:rsid w:val="00642114"/>
    <w:rsid w:val="00647FC3"/>
    <w:rsid w:val="0065083B"/>
    <w:rsid w:val="00670377"/>
    <w:rsid w:val="00673C65"/>
    <w:rsid w:val="006757DB"/>
    <w:rsid w:val="00676DAB"/>
    <w:rsid w:val="0068082B"/>
    <w:rsid w:val="00685BD4"/>
    <w:rsid w:val="006A1907"/>
    <w:rsid w:val="006B2D47"/>
    <w:rsid w:val="006B3153"/>
    <w:rsid w:val="006B63E5"/>
    <w:rsid w:val="006C0C5D"/>
    <w:rsid w:val="006E1825"/>
    <w:rsid w:val="006E4D3A"/>
    <w:rsid w:val="006E5E33"/>
    <w:rsid w:val="006F264E"/>
    <w:rsid w:val="00711627"/>
    <w:rsid w:val="00713439"/>
    <w:rsid w:val="00715B6C"/>
    <w:rsid w:val="00717008"/>
    <w:rsid w:val="007254E5"/>
    <w:rsid w:val="00726A9B"/>
    <w:rsid w:val="007272DF"/>
    <w:rsid w:val="00732380"/>
    <w:rsid w:val="0073462D"/>
    <w:rsid w:val="0075226B"/>
    <w:rsid w:val="0075244E"/>
    <w:rsid w:val="00762091"/>
    <w:rsid w:val="00762D7F"/>
    <w:rsid w:val="007631E5"/>
    <w:rsid w:val="00775BB2"/>
    <w:rsid w:val="007A24AB"/>
    <w:rsid w:val="007A39BD"/>
    <w:rsid w:val="007A4AF6"/>
    <w:rsid w:val="007B247B"/>
    <w:rsid w:val="007C17D7"/>
    <w:rsid w:val="007C5BAA"/>
    <w:rsid w:val="007C754E"/>
    <w:rsid w:val="007D2B9D"/>
    <w:rsid w:val="007E6D71"/>
    <w:rsid w:val="007E7BF9"/>
    <w:rsid w:val="007F53DD"/>
    <w:rsid w:val="007F7673"/>
    <w:rsid w:val="00804DEE"/>
    <w:rsid w:val="00812B57"/>
    <w:rsid w:val="0081379D"/>
    <w:rsid w:val="00815B36"/>
    <w:rsid w:val="0082104A"/>
    <w:rsid w:val="008211F8"/>
    <w:rsid w:val="008223DF"/>
    <w:rsid w:val="00823AFF"/>
    <w:rsid w:val="00823E0F"/>
    <w:rsid w:val="00823EDC"/>
    <w:rsid w:val="0082632A"/>
    <w:rsid w:val="008275F2"/>
    <w:rsid w:val="00842EE1"/>
    <w:rsid w:val="008442A9"/>
    <w:rsid w:val="008504A8"/>
    <w:rsid w:val="00856AB0"/>
    <w:rsid w:val="00862D05"/>
    <w:rsid w:val="00862D22"/>
    <w:rsid w:val="008646DD"/>
    <w:rsid w:val="00864A83"/>
    <w:rsid w:val="00870157"/>
    <w:rsid w:val="008726BB"/>
    <w:rsid w:val="00872BC3"/>
    <w:rsid w:val="00877F72"/>
    <w:rsid w:val="00880E30"/>
    <w:rsid w:val="00883D00"/>
    <w:rsid w:val="00884954"/>
    <w:rsid w:val="00884CD6"/>
    <w:rsid w:val="00885C38"/>
    <w:rsid w:val="0089471C"/>
    <w:rsid w:val="0089560F"/>
    <w:rsid w:val="008A0F17"/>
    <w:rsid w:val="008B010D"/>
    <w:rsid w:val="008B0BD6"/>
    <w:rsid w:val="008C35C1"/>
    <w:rsid w:val="008C64D9"/>
    <w:rsid w:val="008D423B"/>
    <w:rsid w:val="008D5E59"/>
    <w:rsid w:val="008D63BF"/>
    <w:rsid w:val="008D68E0"/>
    <w:rsid w:val="008D7E55"/>
    <w:rsid w:val="008E58B3"/>
    <w:rsid w:val="008F5D8E"/>
    <w:rsid w:val="00901D62"/>
    <w:rsid w:val="009113F1"/>
    <w:rsid w:val="00911741"/>
    <w:rsid w:val="009239D5"/>
    <w:rsid w:val="00926738"/>
    <w:rsid w:val="00926BD7"/>
    <w:rsid w:val="00931F28"/>
    <w:rsid w:val="00933675"/>
    <w:rsid w:val="00945318"/>
    <w:rsid w:val="009466D4"/>
    <w:rsid w:val="009547A6"/>
    <w:rsid w:val="009557EA"/>
    <w:rsid w:val="00955DBA"/>
    <w:rsid w:val="009567A1"/>
    <w:rsid w:val="00963FB1"/>
    <w:rsid w:val="00965D20"/>
    <w:rsid w:val="00972F6F"/>
    <w:rsid w:val="00984662"/>
    <w:rsid w:val="0098603D"/>
    <w:rsid w:val="009863BE"/>
    <w:rsid w:val="00987789"/>
    <w:rsid w:val="00991413"/>
    <w:rsid w:val="009A6698"/>
    <w:rsid w:val="009A6AC2"/>
    <w:rsid w:val="009B47B3"/>
    <w:rsid w:val="009C7EA3"/>
    <w:rsid w:val="009D3C8F"/>
    <w:rsid w:val="009D4AFF"/>
    <w:rsid w:val="009D6211"/>
    <w:rsid w:val="009E43EC"/>
    <w:rsid w:val="009E4D83"/>
    <w:rsid w:val="009E4E2A"/>
    <w:rsid w:val="009E59CE"/>
    <w:rsid w:val="009E5AC8"/>
    <w:rsid w:val="009E69FB"/>
    <w:rsid w:val="009E6BE3"/>
    <w:rsid w:val="009E7F3C"/>
    <w:rsid w:val="009F0A12"/>
    <w:rsid w:val="009F5E5B"/>
    <w:rsid w:val="00A04FD0"/>
    <w:rsid w:val="00A056E4"/>
    <w:rsid w:val="00A05BB0"/>
    <w:rsid w:val="00A12C71"/>
    <w:rsid w:val="00A131BA"/>
    <w:rsid w:val="00A17F0D"/>
    <w:rsid w:val="00A25F08"/>
    <w:rsid w:val="00A32124"/>
    <w:rsid w:val="00A33DE8"/>
    <w:rsid w:val="00A440D4"/>
    <w:rsid w:val="00A47947"/>
    <w:rsid w:val="00A51910"/>
    <w:rsid w:val="00A5485B"/>
    <w:rsid w:val="00A54BF3"/>
    <w:rsid w:val="00A66703"/>
    <w:rsid w:val="00A67098"/>
    <w:rsid w:val="00A70807"/>
    <w:rsid w:val="00A733A3"/>
    <w:rsid w:val="00A77651"/>
    <w:rsid w:val="00AA0EEE"/>
    <w:rsid w:val="00AA7902"/>
    <w:rsid w:val="00AC6F83"/>
    <w:rsid w:val="00AD203B"/>
    <w:rsid w:val="00AD6248"/>
    <w:rsid w:val="00AE0CD4"/>
    <w:rsid w:val="00AE60B5"/>
    <w:rsid w:val="00AF073C"/>
    <w:rsid w:val="00AF2B29"/>
    <w:rsid w:val="00AF3862"/>
    <w:rsid w:val="00B009E9"/>
    <w:rsid w:val="00B01527"/>
    <w:rsid w:val="00B1185D"/>
    <w:rsid w:val="00B12201"/>
    <w:rsid w:val="00B13760"/>
    <w:rsid w:val="00B16B80"/>
    <w:rsid w:val="00B2768C"/>
    <w:rsid w:val="00B30DD3"/>
    <w:rsid w:val="00B3166D"/>
    <w:rsid w:val="00B4141C"/>
    <w:rsid w:val="00B41CDC"/>
    <w:rsid w:val="00B466FE"/>
    <w:rsid w:val="00B55FB1"/>
    <w:rsid w:val="00B56147"/>
    <w:rsid w:val="00B6381D"/>
    <w:rsid w:val="00B7409E"/>
    <w:rsid w:val="00B949BC"/>
    <w:rsid w:val="00BA086D"/>
    <w:rsid w:val="00BC4489"/>
    <w:rsid w:val="00BC59D2"/>
    <w:rsid w:val="00BC5A31"/>
    <w:rsid w:val="00BD3342"/>
    <w:rsid w:val="00BD3D50"/>
    <w:rsid w:val="00BD46FD"/>
    <w:rsid w:val="00BE0795"/>
    <w:rsid w:val="00BE12A5"/>
    <w:rsid w:val="00BF121A"/>
    <w:rsid w:val="00BF691D"/>
    <w:rsid w:val="00C209D7"/>
    <w:rsid w:val="00C24F06"/>
    <w:rsid w:val="00C30459"/>
    <w:rsid w:val="00C45B9F"/>
    <w:rsid w:val="00C51EF1"/>
    <w:rsid w:val="00C5432E"/>
    <w:rsid w:val="00C552D1"/>
    <w:rsid w:val="00C61036"/>
    <w:rsid w:val="00C6142C"/>
    <w:rsid w:val="00C67683"/>
    <w:rsid w:val="00C702CF"/>
    <w:rsid w:val="00C7792F"/>
    <w:rsid w:val="00C83FFF"/>
    <w:rsid w:val="00C8787B"/>
    <w:rsid w:val="00C908BF"/>
    <w:rsid w:val="00C93BD8"/>
    <w:rsid w:val="00C96958"/>
    <w:rsid w:val="00CA5533"/>
    <w:rsid w:val="00CA5655"/>
    <w:rsid w:val="00CA69B6"/>
    <w:rsid w:val="00CA6C17"/>
    <w:rsid w:val="00CA7181"/>
    <w:rsid w:val="00CA7387"/>
    <w:rsid w:val="00CA7CBC"/>
    <w:rsid w:val="00CB0505"/>
    <w:rsid w:val="00CB6EA3"/>
    <w:rsid w:val="00CB7E03"/>
    <w:rsid w:val="00CC1307"/>
    <w:rsid w:val="00CC2517"/>
    <w:rsid w:val="00CC69DF"/>
    <w:rsid w:val="00CD4B64"/>
    <w:rsid w:val="00CE40FC"/>
    <w:rsid w:val="00CE4A31"/>
    <w:rsid w:val="00CF3BE1"/>
    <w:rsid w:val="00D04526"/>
    <w:rsid w:val="00D0651E"/>
    <w:rsid w:val="00D255E2"/>
    <w:rsid w:val="00D2663E"/>
    <w:rsid w:val="00D26C1B"/>
    <w:rsid w:val="00D32C4A"/>
    <w:rsid w:val="00D34851"/>
    <w:rsid w:val="00D37679"/>
    <w:rsid w:val="00D423EB"/>
    <w:rsid w:val="00D42872"/>
    <w:rsid w:val="00D44565"/>
    <w:rsid w:val="00D55A2C"/>
    <w:rsid w:val="00D626EE"/>
    <w:rsid w:val="00D7135F"/>
    <w:rsid w:val="00D7178B"/>
    <w:rsid w:val="00D71844"/>
    <w:rsid w:val="00D843F4"/>
    <w:rsid w:val="00D86342"/>
    <w:rsid w:val="00D90BB2"/>
    <w:rsid w:val="00D97220"/>
    <w:rsid w:val="00DB228C"/>
    <w:rsid w:val="00DB5DA9"/>
    <w:rsid w:val="00DC1839"/>
    <w:rsid w:val="00DC3122"/>
    <w:rsid w:val="00DC795E"/>
    <w:rsid w:val="00DD1234"/>
    <w:rsid w:val="00DD62FA"/>
    <w:rsid w:val="00DF1963"/>
    <w:rsid w:val="00DF2DEC"/>
    <w:rsid w:val="00DF5EF4"/>
    <w:rsid w:val="00E10DA8"/>
    <w:rsid w:val="00E1713C"/>
    <w:rsid w:val="00E17BF2"/>
    <w:rsid w:val="00E236B0"/>
    <w:rsid w:val="00E24787"/>
    <w:rsid w:val="00E247E2"/>
    <w:rsid w:val="00E26A89"/>
    <w:rsid w:val="00E41BF5"/>
    <w:rsid w:val="00E43536"/>
    <w:rsid w:val="00E46244"/>
    <w:rsid w:val="00E4677A"/>
    <w:rsid w:val="00E529A1"/>
    <w:rsid w:val="00E56B82"/>
    <w:rsid w:val="00E63CC1"/>
    <w:rsid w:val="00E67C41"/>
    <w:rsid w:val="00E71205"/>
    <w:rsid w:val="00E80F50"/>
    <w:rsid w:val="00E830FE"/>
    <w:rsid w:val="00E83C74"/>
    <w:rsid w:val="00E9131D"/>
    <w:rsid w:val="00E968FE"/>
    <w:rsid w:val="00E96C62"/>
    <w:rsid w:val="00EA168B"/>
    <w:rsid w:val="00EB13BF"/>
    <w:rsid w:val="00EB2820"/>
    <w:rsid w:val="00EB57DA"/>
    <w:rsid w:val="00EC4CB8"/>
    <w:rsid w:val="00EC7C22"/>
    <w:rsid w:val="00ED7B8A"/>
    <w:rsid w:val="00EE1FE7"/>
    <w:rsid w:val="00EE315F"/>
    <w:rsid w:val="00EE5734"/>
    <w:rsid w:val="00EE5AC6"/>
    <w:rsid w:val="00EF075E"/>
    <w:rsid w:val="00EF3638"/>
    <w:rsid w:val="00EF5124"/>
    <w:rsid w:val="00EF78DF"/>
    <w:rsid w:val="00F00FA4"/>
    <w:rsid w:val="00F23290"/>
    <w:rsid w:val="00F4269D"/>
    <w:rsid w:val="00F4547E"/>
    <w:rsid w:val="00F66343"/>
    <w:rsid w:val="00F72B36"/>
    <w:rsid w:val="00F72FAB"/>
    <w:rsid w:val="00F81693"/>
    <w:rsid w:val="00F845FA"/>
    <w:rsid w:val="00F84B68"/>
    <w:rsid w:val="00F94A49"/>
    <w:rsid w:val="00F9511B"/>
    <w:rsid w:val="00F968E8"/>
    <w:rsid w:val="00FA0B06"/>
    <w:rsid w:val="00FA0EEF"/>
    <w:rsid w:val="00FA5085"/>
    <w:rsid w:val="00FA5327"/>
    <w:rsid w:val="00FB055D"/>
    <w:rsid w:val="00FB27B4"/>
    <w:rsid w:val="00FB31CC"/>
    <w:rsid w:val="00FB488A"/>
    <w:rsid w:val="00FB564F"/>
    <w:rsid w:val="00FE181A"/>
    <w:rsid w:val="00FE4E89"/>
    <w:rsid w:val="00FE6781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79920-F434-458A-B132-5F1D53D6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3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387"/>
  </w:style>
  <w:style w:type="character" w:styleId="PageNumber">
    <w:name w:val="page number"/>
    <w:basedOn w:val="DefaultParagraphFont"/>
    <w:rsid w:val="00CA7387"/>
  </w:style>
  <w:style w:type="paragraph" w:styleId="FootnoteText">
    <w:name w:val="footnote text"/>
    <w:basedOn w:val="Normal"/>
    <w:link w:val="FootnoteTextChar"/>
    <w:uiPriority w:val="99"/>
    <w:semiHidden/>
    <w:unhideWhenUsed/>
    <w:rsid w:val="00372D77"/>
    <w:pPr>
      <w:spacing w:after="0" w:line="240" w:lineRule="auto"/>
    </w:pPr>
    <w:rPr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D77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72D77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2D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91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3FE"/>
  </w:style>
  <w:style w:type="paragraph" w:styleId="BalloonText">
    <w:name w:val="Balloon Text"/>
    <w:basedOn w:val="Normal"/>
    <w:link w:val="BalloonTextChar"/>
    <w:uiPriority w:val="99"/>
    <w:semiHidden/>
    <w:unhideWhenUsed/>
    <w:rsid w:val="00D4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0814">
          <w:marLeft w:val="0"/>
          <w:marRight w:val="105"/>
          <w:marTop w:val="0"/>
          <w:marBottom w:val="90"/>
          <w:divBdr>
            <w:top w:val="single" w:sz="6" w:space="1" w:color="D8D8D8"/>
            <w:left w:val="single" w:sz="6" w:space="6" w:color="D8D8D8"/>
            <w:bottom w:val="single" w:sz="6" w:space="1" w:color="D8D8D8"/>
            <w:right w:val="single" w:sz="6" w:space="6" w:color="D8D8D8"/>
          </w:divBdr>
        </w:div>
        <w:div w:id="6961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155">
          <w:marLeft w:val="0"/>
          <w:marRight w:val="105"/>
          <w:marTop w:val="0"/>
          <w:marBottom w:val="90"/>
          <w:divBdr>
            <w:top w:val="single" w:sz="6" w:space="1" w:color="D8D8D8"/>
            <w:left w:val="single" w:sz="6" w:space="6" w:color="D8D8D8"/>
            <w:bottom w:val="single" w:sz="6" w:space="1" w:color="D8D8D8"/>
            <w:right w:val="single" w:sz="6" w:space="6" w:color="D8D8D8"/>
          </w:divBdr>
        </w:div>
        <w:div w:id="366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1300-0FE7-4636-8383-0A4BC564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Boeva</dc:creator>
  <cp:lastModifiedBy>Daniela Belchina</cp:lastModifiedBy>
  <cp:revision>3</cp:revision>
  <cp:lastPrinted>2020-02-17T15:08:00Z</cp:lastPrinted>
  <dcterms:created xsi:type="dcterms:W3CDTF">2020-02-17T14:23:00Z</dcterms:created>
  <dcterms:modified xsi:type="dcterms:W3CDTF">2020-02-17T15:16:00Z</dcterms:modified>
</cp:coreProperties>
</file>