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18" w:rsidRPr="0070571F" w:rsidRDefault="007173EE" w:rsidP="00CF7A87">
      <w:pPr>
        <w:shd w:val="clear" w:color="auto" w:fill="FFFFFF"/>
        <w:spacing w:line="276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`</w:t>
      </w:r>
      <w:r w:rsidR="00B65870" w:rsidRPr="0070571F">
        <w:rPr>
          <w:rFonts w:ascii="Calibri" w:hAnsi="Calibri" w:cs="Calibri"/>
          <w:b/>
          <w:bC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186690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B82" w:rsidRPr="0070571F" w:rsidRDefault="00ED6B82" w:rsidP="00CF7A87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FD0718" w:rsidRPr="0070571F" w:rsidRDefault="00FD0718" w:rsidP="00CF7A87">
      <w:pPr>
        <w:shd w:val="clear" w:color="auto" w:fill="FFFFFF"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8"/>
          <w:szCs w:val="24"/>
        </w:rPr>
      </w:pPr>
      <w:r w:rsidRPr="0070571F">
        <w:rPr>
          <w:rStyle w:val="Normal"/>
          <w:rFonts w:ascii="Calibri" w:hAnsi="Calibri" w:cs="Calibri"/>
          <w:b/>
          <w:color w:val="000000"/>
          <w:sz w:val="28"/>
          <w:szCs w:val="24"/>
        </w:rPr>
        <w:t>Информационен документ</w:t>
      </w:r>
      <w:r w:rsidR="00ED6B82" w:rsidRPr="0070571F">
        <w:rPr>
          <w:rStyle w:val="Normal"/>
          <w:rFonts w:ascii="Calibri" w:hAnsi="Calibri" w:cs="Calibri"/>
          <w:b/>
          <w:color w:val="000000"/>
          <w:sz w:val="28"/>
          <w:szCs w:val="24"/>
        </w:rPr>
        <w:t xml:space="preserve"> </w:t>
      </w:r>
    </w:p>
    <w:p w:rsidR="00FD0718" w:rsidRPr="0070571F" w:rsidRDefault="00FD0718" w:rsidP="00CF7A87">
      <w:pPr>
        <w:shd w:val="clear" w:color="auto" w:fill="FFFFFF"/>
        <w:spacing w:after="120" w:line="276" w:lineRule="auto"/>
        <w:jc w:val="both"/>
        <w:rPr>
          <w:rFonts w:ascii="Calibri" w:hAnsi="Calibri" w:cs="Calibri"/>
          <w:sz w:val="28"/>
          <w:szCs w:val="24"/>
        </w:rPr>
      </w:pPr>
      <w:r w:rsidRPr="0070571F">
        <w:rPr>
          <w:rStyle w:val="Normal"/>
          <w:rFonts w:ascii="Calibri" w:hAnsi="Calibri" w:cs="Calibri"/>
          <w:b/>
          <w:color w:val="000000"/>
          <w:sz w:val="28"/>
          <w:szCs w:val="24"/>
        </w:rPr>
        <w:t>SG/Inf(2020)11</w:t>
      </w:r>
    </w:p>
    <w:p w:rsidR="00FD0718" w:rsidRPr="007173EE" w:rsidRDefault="00FD0718" w:rsidP="00CF7A87">
      <w:pPr>
        <w:shd w:val="clear" w:color="auto" w:fill="FFFFFF"/>
        <w:spacing w:line="276" w:lineRule="auto"/>
        <w:jc w:val="right"/>
        <w:rPr>
          <w:rStyle w:val="Normal"/>
          <w:rFonts w:ascii="Calibri" w:hAnsi="Calibri" w:cs="Calibri"/>
          <w:color w:val="000000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7 април 2020 г.</w:t>
      </w:r>
    </w:p>
    <w:p w:rsidR="00CF7A87" w:rsidRPr="007173EE" w:rsidRDefault="00CF7A87" w:rsidP="00CF7A87">
      <w:pPr>
        <w:shd w:val="clear" w:color="auto" w:fill="FFFFFF"/>
        <w:spacing w:line="276" w:lineRule="auto"/>
        <w:rPr>
          <w:rFonts w:ascii="Calibri" w:hAnsi="Calibri" w:cs="Calibri"/>
          <w:color w:val="000000"/>
          <w:sz w:val="12"/>
          <w:szCs w:val="24"/>
        </w:rPr>
      </w:pPr>
    </w:p>
    <w:p w:rsidR="00FD0718" w:rsidRPr="0070571F" w:rsidRDefault="00FD0718" w:rsidP="008854E6">
      <w:pPr>
        <w:pBdr>
          <w:top w:val="single" w:sz="4" w:space="1" w:color="808080"/>
          <w:bottom w:val="single" w:sz="4" w:space="1" w:color="808080"/>
        </w:pBdr>
        <w:shd w:val="clear" w:color="auto" w:fill="FFFFFF"/>
        <w:spacing w:line="276" w:lineRule="auto"/>
        <w:jc w:val="right"/>
        <w:rPr>
          <w:rFonts w:ascii="Calibri" w:hAnsi="Calibri" w:cs="Calibri"/>
          <w:sz w:val="12"/>
          <w:szCs w:val="24"/>
        </w:rPr>
      </w:pPr>
    </w:p>
    <w:p w:rsidR="00FD0718" w:rsidRPr="0070571F" w:rsidRDefault="00FD0718" w:rsidP="008854E6">
      <w:pPr>
        <w:pBdr>
          <w:top w:val="single" w:sz="4" w:space="1" w:color="808080"/>
          <w:bottom w:val="single" w:sz="4" w:space="1" w:color="808080"/>
        </w:pBdr>
        <w:shd w:val="clear" w:color="auto" w:fill="FFFFFF"/>
        <w:spacing w:line="276" w:lineRule="auto"/>
        <w:jc w:val="both"/>
        <w:rPr>
          <w:rFonts w:ascii="Calibri" w:hAnsi="Calibri" w:cs="Calibri"/>
          <w:sz w:val="28"/>
          <w:szCs w:val="24"/>
        </w:rPr>
      </w:pPr>
      <w:r w:rsidRPr="0070571F">
        <w:rPr>
          <w:rStyle w:val="Normal"/>
          <w:rFonts w:ascii="Calibri" w:hAnsi="Calibri" w:cs="Calibri"/>
          <w:b/>
          <w:color w:val="000000"/>
          <w:sz w:val="28"/>
          <w:szCs w:val="24"/>
        </w:rPr>
        <w:t>Спазване на демокрацията, върховенството на закона и правата н</w:t>
      </w:r>
      <w:bookmarkStart w:id="0" w:name="_GoBack"/>
      <w:bookmarkEnd w:id="0"/>
      <w:r w:rsidRPr="0070571F">
        <w:rPr>
          <w:rStyle w:val="Normal"/>
          <w:rFonts w:ascii="Calibri" w:hAnsi="Calibri" w:cs="Calibri"/>
          <w:b/>
          <w:color w:val="000000"/>
          <w:sz w:val="28"/>
          <w:szCs w:val="24"/>
        </w:rPr>
        <w:t xml:space="preserve">а човека в условията на санитарната криза </w:t>
      </w:r>
      <w:r w:rsidR="00CF7A87" w:rsidRPr="0070571F">
        <w:rPr>
          <w:rStyle w:val="Normal"/>
          <w:rFonts w:ascii="Calibri" w:hAnsi="Calibri" w:cs="Calibri"/>
          <w:b/>
          <w:color w:val="000000"/>
          <w:sz w:val="28"/>
          <w:szCs w:val="24"/>
        </w:rPr>
        <w:t xml:space="preserve">с </w:t>
      </w:r>
      <w:r w:rsidRPr="0070571F">
        <w:rPr>
          <w:rStyle w:val="Normal"/>
          <w:rFonts w:ascii="Calibri" w:hAnsi="Calibri" w:cs="Calibri"/>
          <w:b/>
          <w:color w:val="000000"/>
          <w:sz w:val="28"/>
          <w:szCs w:val="24"/>
        </w:rPr>
        <w:t>COVID-19</w:t>
      </w:r>
    </w:p>
    <w:p w:rsidR="00FD0718" w:rsidRPr="0070571F" w:rsidRDefault="00FD0718" w:rsidP="008854E6">
      <w:pPr>
        <w:pBdr>
          <w:top w:val="single" w:sz="4" w:space="1" w:color="808080"/>
          <w:bottom w:val="single" w:sz="4" w:space="1" w:color="808080"/>
        </w:pBd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0000"/>
          <w:sz w:val="12"/>
          <w:szCs w:val="24"/>
        </w:rPr>
      </w:pPr>
    </w:p>
    <w:p w:rsidR="00FD0718" w:rsidRPr="0070571F" w:rsidRDefault="00996473" w:rsidP="008854E6">
      <w:pPr>
        <w:pBdr>
          <w:top w:val="single" w:sz="4" w:space="1" w:color="808080"/>
          <w:bottom w:val="single" w:sz="4" w:space="1" w:color="808080"/>
        </w:pBdr>
        <w:shd w:val="clear" w:color="auto" w:fill="FFFFFF"/>
        <w:spacing w:line="276" w:lineRule="auto"/>
        <w:jc w:val="both"/>
        <w:rPr>
          <w:rStyle w:val="Normal"/>
          <w:rFonts w:ascii="Calibri" w:hAnsi="Calibri" w:cs="Calibri"/>
          <w:b/>
          <w:color w:val="000000"/>
          <w:sz w:val="28"/>
          <w:szCs w:val="24"/>
          <w:lang w:val="en-US"/>
        </w:rPr>
      </w:pPr>
      <w:r w:rsidRPr="0070571F">
        <w:rPr>
          <w:rStyle w:val="Normal"/>
          <w:rFonts w:ascii="Calibri" w:hAnsi="Calibri" w:cs="Calibri"/>
          <w:b/>
          <w:color w:val="000000"/>
          <w:sz w:val="28"/>
          <w:szCs w:val="24"/>
        </w:rPr>
        <w:t xml:space="preserve">Наръчник за държавите </w:t>
      </w:r>
      <w:r w:rsidR="00FD0718" w:rsidRPr="0070571F">
        <w:rPr>
          <w:rStyle w:val="Normal"/>
          <w:rFonts w:ascii="Calibri" w:hAnsi="Calibri" w:cs="Calibri"/>
          <w:b/>
          <w:color w:val="000000"/>
          <w:sz w:val="28"/>
          <w:szCs w:val="24"/>
        </w:rPr>
        <w:t xml:space="preserve">членки </w:t>
      </w:r>
    </w:p>
    <w:p w:rsidR="00CF7A87" w:rsidRPr="0070571F" w:rsidRDefault="00CF7A87" w:rsidP="008854E6">
      <w:pPr>
        <w:pBdr>
          <w:top w:val="single" w:sz="4" w:space="1" w:color="808080"/>
          <w:bottom w:val="single" w:sz="4" w:space="1" w:color="808080"/>
        </w:pBd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0000"/>
          <w:sz w:val="12"/>
          <w:szCs w:val="24"/>
          <w:lang w:val="en-US"/>
        </w:rPr>
      </w:pPr>
    </w:p>
    <w:p w:rsidR="00FD0718" w:rsidRPr="0070571F" w:rsidRDefault="00FD0718" w:rsidP="00CF7A87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FD0718" w:rsidRPr="0070571F" w:rsidRDefault="00FD0718" w:rsidP="00CF7A87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52"/>
        <w:gridCol w:w="3050"/>
      </w:tblGrid>
      <w:tr w:rsidR="008854E6" w:rsidRPr="0070571F" w:rsidTr="008854E6">
        <w:trPr>
          <w:trHeight w:val="208"/>
        </w:trPr>
        <w:tc>
          <w:tcPr>
            <w:tcW w:w="3134" w:type="dxa"/>
            <w:shd w:val="clear" w:color="auto" w:fill="auto"/>
          </w:tcPr>
          <w:p w:rsidR="00CF7A87" w:rsidRPr="0070571F" w:rsidRDefault="00CF7A87" w:rsidP="008854E6">
            <w:p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lang w:val="en-US"/>
              </w:rPr>
            </w:pPr>
            <w:r w:rsidRPr="0070571F">
              <w:rPr>
                <w:rStyle w:val="Normal"/>
                <w:rFonts w:ascii="Calibri" w:hAnsi="Calibri" w:cs="Calibri"/>
                <w:color w:val="000000"/>
              </w:rPr>
              <w:t>SG/Inf(2020)11</w:t>
            </w:r>
          </w:p>
        </w:tc>
        <w:tc>
          <w:tcPr>
            <w:tcW w:w="3134" w:type="dxa"/>
            <w:shd w:val="clear" w:color="auto" w:fill="auto"/>
          </w:tcPr>
          <w:p w:rsidR="00CF7A87" w:rsidRPr="0070571F" w:rsidRDefault="00CF7A87" w:rsidP="008854E6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70571F">
              <w:rPr>
                <w:rStyle w:val="Normal"/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5" w:type="dxa"/>
            <w:shd w:val="clear" w:color="auto" w:fill="auto"/>
          </w:tcPr>
          <w:p w:rsidR="00CF7A87" w:rsidRPr="0070571F" w:rsidRDefault="00CF7A87" w:rsidP="008854E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FD0718" w:rsidRPr="0070571F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FD0718" w:rsidRPr="0070571F" w:rsidRDefault="00FD0718" w:rsidP="00CF7A87">
      <w:pPr>
        <w:shd w:val="clear" w:color="auto" w:fill="FFFFFF"/>
        <w:spacing w:line="276" w:lineRule="auto"/>
        <w:ind w:firstLine="720"/>
        <w:jc w:val="both"/>
        <w:rPr>
          <w:rStyle w:val="Normal"/>
          <w:rFonts w:ascii="Calibri" w:hAnsi="Calibri" w:cs="Calibri"/>
          <w:b/>
          <w:color w:val="000000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color w:val="000000"/>
          <w:sz w:val="24"/>
          <w:szCs w:val="24"/>
        </w:rPr>
        <w:t>Въведение</w:t>
      </w:r>
    </w:p>
    <w:p w:rsidR="00CF7A87" w:rsidRPr="0070571F" w:rsidRDefault="00CF7A87" w:rsidP="00ED6B82">
      <w:pPr>
        <w:shd w:val="clear" w:color="auto" w:fill="FFFFFF"/>
        <w:spacing w:line="276" w:lineRule="auto"/>
        <w:jc w:val="both"/>
        <w:rPr>
          <w:rFonts w:ascii="Calibri" w:hAnsi="Calibri" w:cs="Calibri"/>
          <w:sz w:val="12"/>
          <w:szCs w:val="24"/>
        </w:rPr>
      </w:pPr>
    </w:p>
    <w:p w:rsidR="00FD0718" w:rsidRPr="0070571F" w:rsidRDefault="00FD0718" w:rsidP="00CF7A87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Целта на настоящия документ е да предостави на правителствата инструментариум за справяне с настоящата безпрецедентна и мащабна санитарна криза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lastRenderedPageBreak/>
        <w:t>по начин, по който да се зачитат основните ценности на демокрацията, върховенството на закона и правата на човека.</w:t>
      </w:r>
    </w:p>
    <w:p w:rsidR="00FD0718" w:rsidRPr="0070571F" w:rsidRDefault="00FD0718" w:rsidP="00CF7A87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Като начало се признава, че правителствата са изправени пред огромни предизвикателства в стремежа с</w:t>
      </w:r>
      <w:r w:rsidR="00CF7A87" w:rsidRPr="0070571F">
        <w:rPr>
          <w:rStyle w:val="Normal"/>
          <w:rFonts w:ascii="Calibri" w:hAnsi="Calibri" w:cs="Calibri"/>
          <w:color w:val="000000"/>
          <w:sz w:val="24"/>
          <w:szCs w:val="24"/>
        </w:rPr>
        <w:t>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да защитят своето население от заплахата от COVID-19. </w:t>
      </w:r>
      <w:r w:rsidR="000654C9">
        <w:rPr>
          <w:rStyle w:val="Normal"/>
          <w:rFonts w:ascii="Calibri" w:hAnsi="Calibri" w:cs="Calibri"/>
          <w:color w:val="000000"/>
          <w:sz w:val="24"/>
          <w:szCs w:val="24"/>
        </w:rPr>
        <w:t>Разбираемо е също така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, че не може да се поддържа </w:t>
      </w:r>
      <w:r w:rsidR="00996473" w:rsidRPr="0070571F">
        <w:rPr>
          <w:rStyle w:val="Normal"/>
          <w:rFonts w:ascii="Calibri" w:hAnsi="Calibri" w:cs="Calibri"/>
          <w:color w:val="000000"/>
          <w:sz w:val="24"/>
          <w:szCs w:val="24"/>
        </w:rPr>
        <w:t>нормалното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функциониране на обществото, особено по отношение основната защитна мярка, необходима за борба с вируса, а именно изол</w:t>
      </w:r>
      <w:r w:rsidR="00CF7A87" w:rsidRPr="0070571F">
        <w:rPr>
          <w:rStyle w:val="Normal"/>
          <w:rFonts w:ascii="Calibri" w:hAnsi="Calibri" w:cs="Calibri"/>
          <w:color w:val="000000"/>
          <w:sz w:val="24"/>
          <w:szCs w:val="24"/>
        </w:rPr>
        <w:t>ацията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. Освен това се приема, че предприетите мерки неизбежно ще навредят на правата и свободите, които са неразделна и необходима част от демократичното общество, </w:t>
      </w:r>
      <w:r w:rsidR="00996473" w:rsidRPr="0070571F">
        <w:rPr>
          <w:rStyle w:val="Normal"/>
          <w:rFonts w:ascii="Calibri" w:hAnsi="Calibri" w:cs="Calibri"/>
          <w:color w:val="000000"/>
          <w:sz w:val="24"/>
          <w:szCs w:val="24"/>
        </w:rPr>
        <w:t>подчинено на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върховенството на </w:t>
      </w:r>
      <w:r w:rsidR="00996473" w:rsidRPr="0070571F">
        <w:rPr>
          <w:rStyle w:val="Normal"/>
          <w:rFonts w:ascii="Calibri" w:hAnsi="Calibri" w:cs="Calibri"/>
          <w:color w:val="000000"/>
          <w:sz w:val="24"/>
          <w:szCs w:val="24"/>
        </w:rPr>
        <w:t>правото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</w:t>
      </w:r>
    </w:p>
    <w:p w:rsidR="00FD0718" w:rsidRPr="0070571F" w:rsidRDefault="00FD0718" w:rsidP="00CF7A87">
      <w:pPr>
        <w:shd w:val="clear" w:color="auto" w:fill="FFFFFF"/>
        <w:spacing w:line="276" w:lineRule="auto"/>
        <w:ind w:firstLine="720"/>
        <w:jc w:val="both"/>
        <w:rPr>
          <w:rStyle w:val="Normal"/>
          <w:rFonts w:ascii="Calibri" w:hAnsi="Calibri" w:cs="Calibri"/>
          <w:color w:val="000000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Основното социално, политическо и правно предизвикателство пред нашите държави</w:t>
      </w:r>
      <w:r w:rsidR="00996473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членки ще бъде способността им да реагират ефективно на тази криза, като същевременно </w:t>
      </w:r>
      <w:r w:rsidR="000654C9">
        <w:rPr>
          <w:rStyle w:val="Normal"/>
          <w:rFonts w:ascii="Calibri" w:hAnsi="Calibri" w:cs="Calibri"/>
          <w:color w:val="000000"/>
          <w:sz w:val="24"/>
          <w:szCs w:val="24"/>
        </w:rPr>
        <w:t>гарантират, че мерките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които предприемат, не подкопават истинския ни дългосрочен интерес да защитаваме основополагащите ценности на Европа - демокрацията, върховенството на </w:t>
      </w:r>
      <w:r w:rsidR="000654C9">
        <w:rPr>
          <w:rStyle w:val="Normal"/>
          <w:rFonts w:ascii="Calibri" w:hAnsi="Calibri" w:cs="Calibri"/>
          <w:color w:val="000000"/>
          <w:sz w:val="24"/>
          <w:szCs w:val="24"/>
        </w:rPr>
        <w:t xml:space="preserve">правото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и правата на човека. Именно тук Съветът на Европа трябва да изпълни основн</w:t>
      </w:r>
      <w:r w:rsidR="00CF7A87" w:rsidRPr="0070571F">
        <w:rPr>
          <w:rStyle w:val="Normal"/>
          <w:rFonts w:ascii="Calibri" w:hAnsi="Calibri" w:cs="Calibri"/>
          <w:color w:val="000000"/>
          <w:sz w:val="24"/>
          <w:szCs w:val="24"/>
        </w:rPr>
        <w:t>ата си функция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, като предостави, чрез своите органи и всички свои компетентни </w:t>
      </w:r>
      <w:r w:rsidR="00CF7A87" w:rsidRPr="0070571F">
        <w:rPr>
          <w:rStyle w:val="Normal"/>
          <w:rFonts w:ascii="Calibri" w:hAnsi="Calibri" w:cs="Calibri"/>
          <w:color w:val="000000"/>
          <w:sz w:val="24"/>
          <w:szCs w:val="24"/>
        </w:rPr>
        <w:t>структури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и механизми, форум за колективно осигуряване на това мерките да останат пропорционални на заплахата, породена от разпространението на вируса</w:t>
      </w:r>
      <w:r w:rsidR="00B90E29" w:rsidRPr="0070571F">
        <w:rPr>
          <w:rStyle w:val="Normal"/>
          <w:rFonts w:ascii="Calibri" w:hAnsi="Calibri" w:cs="Calibri"/>
          <w:color w:val="000000"/>
          <w:sz w:val="24"/>
          <w:szCs w:val="24"/>
        </w:rPr>
        <w:t>,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и да бъдат ограничени във времето. Вирусът унищожава много животи и още много от нещата, които са ни скъпи.</w:t>
      </w:r>
      <w:r w:rsidR="00ED6B82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Не трябва да му позволим да разруши нашите основни ценности и свободни общества.</w:t>
      </w:r>
    </w:p>
    <w:p w:rsidR="00CF7A87" w:rsidRPr="0070571F" w:rsidRDefault="00CF7A87" w:rsidP="00ED6B82">
      <w:pPr>
        <w:shd w:val="clear" w:color="auto" w:fill="FFFFFF"/>
        <w:spacing w:line="276" w:lineRule="auto"/>
        <w:jc w:val="both"/>
        <w:rPr>
          <w:rFonts w:ascii="Calibri" w:hAnsi="Calibri" w:cs="Calibri"/>
          <w:sz w:val="12"/>
          <w:szCs w:val="24"/>
        </w:rPr>
      </w:pPr>
    </w:p>
    <w:p w:rsidR="00B90E29" w:rsidRPr="0070571F" w:rsidRDefault="00B90E29" w:rsidP="00ED6B82">
      <w:pPr>
        <w:shd w:val="clear" w:color="auto" w:fill="FFFFFF"/>
        <w:spacing w:line="276" w:lineRule="auto"/>
        <w:jc w:val="both"/>
        <w:rPr>
          <w:rFonts w:ascii="Calibri" w:hAnsi="Calibri" w:cs="Calibri"/>
          <w:sz w:val="12"/>
          <w:szCs w:val="24"/>
        </w:rPr>
      </w:pPr>
    </w:p>
    <w:p w:rsidR="00FD0718" w:rsidRPr="0070571F" w:rsidRDefault="00FD0718" w:rsidP="00CF7A87">
      <w:pPr>
        <w:shd w:val="clear" w:color="auto" w:fill="FFFFFF"/>
        <w:spacing w:line="276" w:lineRule="auto"/>
        <w:ind w:firstLine="720"/>
        <w:jc w:val="both"/>
        <w:rPr>
          <w:rStyle w:val="Normal"/>
          <w:rFonts w:ascii="Calibri" w:hAnsi="Calibri" w:cs="Calibri"/>
          <w:b/>
          <w:color w:val="000000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color w:val="000000"/>
          <w:sz w:val="24"/>
          <w:szCs w:val="24"/>
        </w:rPr>
        <w:t>1. Дерогация в условията на извънредно положение (член 15 от Европейската конвенция за правата на човека)</w:t>
      </w:r>
    </w:p>
    <w:p w:rsidR="00CF7A87" w:rsidRPr="0070571F" w:rsidRDefault="00CF7A87" w:rsidP="00CF7A87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12"/>
          <w:szCs w:val="24"/>
        </w:rPr>
      </w:pPr>
    </w:p>
    <w:p w:rsidR="00FD0718" w:rsidRPr="0070571F" w:rsidRDefault="00FD0718" w:rsidP="00CF7A87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lastRenderedPageBreak/>
        <w:t xml:space="preserve">Степента на мерките, предприети в отговор на настоящата заплаха от COVID-19, и начинът, по който те се прилагат, варират значително в различните държави </w:t>
      </w:r>
      <w:r w:rsidR="000654C9">
        <w:rPr>
          <w:rStyle w:val="Normal"/>
          <w:rFonts w:ascii="Calibri" w:hAnsi="Calibri" w:cs="Calibri"/>
          <w:color w:val="000000"/>
          <w:sz w:val="24"/>
          <w:szCs w:val="24"/>
        </w:rPr>
        <w:t xml:space="preserve">и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в различни периоди</w:t>
      </w:r>
      <w:r w:rsidR="00B90E29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от време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 Докато някои ограничит</w:t>
      </w:r>
      <w:r w:rsidR="00B90E29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елни мерки, приети от държавите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членки, </w:t>
      </w:r>
      <w:r w:rsidR="00B90E29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се покриват от ограниченията, предвидени в самата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Европейската конвенция за правата на човека (Конвенцията) </w:t>
      </w:r>
      <w:r w:rsidR="00B90E29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във връзка със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защитата на здравето (виж член 5, параграф 1д, параграф 2 от членове 8 до 11 от Конвенция и член 2, параграф 3 от Протокол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  <w:cs/>
        </w:rPr>
        <w:t xml:space="preserve">№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4 към Конвенцията), </w:t>
      </w:r>
      <w:r w:rsidR="00B90E29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то други извънредни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мерки могат да изискват дерогации о</w:t>
      </w:r>
      <w:r w:rsidR="00B90E29" w:rsidRPr="0070571F">
        <w:rPr>
          <w:rStyle w:val="Normal"/>
          <w:rFonts w:ascii="Calibri" w:hAnsi="Calibri" w:cs="Calibri"/>
          <w:color w:val="000000"/>
          <w:sz w:val="24"/>
          <w:szCs w:val="24"/>
        </w:rPr>
        <w:t>т задълженията на държавите по К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онвенцията. Всяка държава трябва да прецени дали приетите от нея мерки налагат такава дерогация в зависимост от естеството и степента на ограниченията, прилагани по отношение на правата и свободите, защитени от Конвенцията. Възможността държавите да направят това е важна характеристика на системата, позволяваща </w:t>
      </w:r>
      <w:r w:rsidR="00B90E29" w:rsidRPr="0070571F">
        <w:rPr>
          <w:rStyle w:val="Normal"/>
          <w:rFonts w:ascii="Calibri" w:hAnsi="Calibri" w:cs="Calibri"/>
          <w:color w:val="000000"/>
          <w:sz w:val="24"/>
          <w:szCs w:val="24"/>
        </w:rPr>
        <w:t>постоянното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прилагане на Конвенцията и нейния надзорен механизъм дори в най-критичните моменти.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1"/>
      </w:r>
    </w:p>
    <w:p w:rsidR="00FD0718" w:rsidRPr="0070571F" w:rsidRDefault="00FD0718" w:rsidP="00CF7A87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Всяка дерогация ще </w:t>
      </w:r>
      <w:r w:rsidR="00FB63EE" w:rsidRPr="0070571F">
        <w:rPr>
          <w:rStyle w:val="Normal"/>
          <w:rFonts w:ascii="Calibri" w:hAnsi="Calibri" w:cs="Calibri"/>
          <w:color w:val="000000"/>
          <w:sz w:val="24"/>
          <w:szCs w:val="24"/>
        </w:rPr>
        <w:t>се оценява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от Европейския съд по правата на човека (Съдът) в случаите, които ще бъдат </w:t>
      </w:r>
      <w:r w:rsidR="00B90E29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отнесени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пред него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2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 Съдът предостав</w:t>
      </w:r>
      <w:r w:rsidR="00FB63EE" w:rsidRPr="0070571F">
        <w:rPr>
          <w:rStyle w:val="Normal"/>
          <w:rFonts w:ascii="Calibri" w:hAnsi="Calibri" w:cs="Calibri"/>
          <w:color w:val="000000"/>
          <w:sz w:val="24"/>
          <w:szCs w:val="24"/>
        </w:rPr>
        <w:t>я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на държавите голяма свобода на преценка в тази област: </w:t>
      </w:r>
      <w:r w:rsidRPr="0070571F">
        <w:rPr>
          <w:rStyle w:val="Normal"/>
          <w:rFonts w:ascii="Calibri" w:hAnsi="Calibri" w:cs="Calibri"/>
          <w:i/>
          <w:sz w:val="24"/>
          <w:szCs w:val="24"/>
          <w:cs/>
        </w:rPr>
        <w:t>„</w:t>
      </w:r>
      <w:r w:rsidRPr="0070571F">
        <w:rPr>
          <w:rStyle w:val="Normal"/>
          <w:rFonts w:ascii="Calibri" w:hAnsi="Calibri" w:cs="Calibri"/>
          <w:i/>
          <w:sz w:val="24"/>
          <w:szCs w:val="24"/>
        </w:rPr>
        <w:t xml:space="preserve">На първо място се пада на всяка договаряща държава, с нейната отговорност за </w:t>
      </w:r>
      <w:r w:rsidRPr="0070571F">
        <w:rPr>
          <w:rStyle w:val="Normal"/>
          <w:rFonts w:ascii="Calibri" w:hAnsi="Calibri" w:cs="Calibri"/>
          <w:i/>
          <w:sz w:val="24"/>
          <w:szCs w:val="24"/>
          <w:cs/>
        </w:rPr>
        <w:t>„</w:t>
      </w:r>
      <w:r w:rsidRPr="0070571F">
        <w:rPr>
          <w:rStyle w:val="Normal"/>
          <w:rFonts w:ascii="Calibri" w:hAnsi="Calibri" w:cs="Calibri"/>
          <w:i/>
          <w:sz w:val="24"/>
          <w:szCs w:val="24"/>
        </w:rPr>
        <w:t>живота на [нейната] нация</w:t>
      </w:r>
      <w:r w:rsidR="00B90E29" w:rsidRPr="0070571F">
        <w:rPr>
          <w:rStyle w:val="Normal"/>
          <w:rFonts w:ascii="Calibri" w:hAnsi="Calibri" w:cs="Calibri"/>
          <w:i/>
          <w:sz w:val="24"/>
          <w:szCs w:val="24"/>
        </w:rPr>
        <w:t>та</w:t>
      </w:r>
      <w:r w:rsidRPr="0070571F">
        <w:rPr>
          <w:rStyle w:val="Normal"/>
          <w:rFonts w:ascii="Calibri" w:hAnsi="Calibri" w:cs="Calibri"/>
          <w:i/>
          <w:sz w:val="24"/>
          <w:szCs w:val="24"/>
        </w:rPr>
        <w:t xml:space="preserve">", да определи дали този живот е застрашен от </w:t>
      </w:r>
      <w:r w:rsidRPr="0070571F">
        <w:rPr>
          <w:rStyle w:val="Normal"/>
          <w:rFonts w:ascii="Calibri" w:hAnsi="Calibri" w:cs="Calibri"/>
          <w:i/>
          <w:sz w:val="24"/>
          <w:szCs w:val="24"/>
          <w:cs/>
        </w:rPr>
        <w:t>„</w:t>
      </w:r>
      <w:r w:rsidRPr="0070571F">
        <w:rPr>
          <w:rStyle w:val="Normal"/>
          <w:rFonts w:ascii="Calibri" w:hAnsi="Calibri" w:cs="Calibri"/>
          <w:i/>
          <w:sz w:val="24"/>
          <w:szCs w:val="24"/>
        </w:rPr>
        <w:t>об</w:t>
      </w:r>
      <w:r w:rsidR="00FB63EE" w:rsidRPr="0070571F">
        <w:rPr>
          <w:rStyle w:val="Normal"/>
          <w:rFonts w:ascii="Calibri" w:hAnsi="Calibri" w:cs="Calibri"/>
          <w:i/>
          <w:sz w:val="24"/>
          <w:szCs w:val="24"/>
        </w:rPr>
        <w:t>ществена извънредна ситуация" и,</w:t>
      </w:r>
      <w:r w:rsidRPr="0070571F">
        <w:rPr>
          <w:rStyle w:val="Normal"/>
          <w:rFonts w:ascii="Calibri" w:hAnsi="Calibri" w:cs="Calibri"/>
          <w:i/>
          <w:sz w:val="24"/>
          <w:szCs w:val="24"/>
        </w:rPr>
        <w:t xml:space="preserve"> ако </w:t>
      </w:r>
      <w:r w:rsidR="00FB63EE" w:rsidRPr="0070571F">
        <w:rPr>
          <w:rStyle w:val="Normal"/>
          <w:rFonts w:ascii="Calibri" w:hAnsi="Calibri" w:cs="Calibri"/>
          <w:i/>
          <w:sz w:val="24"/>
          <w:szCs w:val="24"/>
        </w:rPr>
        <w:t>е така</w:t>
      </w:r>
      <w:r w:rsidRPr="0070571F">
        <w:rPr>
          <w:rStyle w:val="Normal"/>
          <w:rFonts w:ascii="Calibri" w:hAnsi="Calibri" w:cs="Calibri"/>
          <w:i/>
          <w:sz w:val="24"/>
          <w:szCs w:val="24"/>
        </w:rPr>
        <w:t xml:space="preserve">, </w:t>
      </w:r>
      <w:r w:rsidR="00B90E29" w:rsidRPr="0070571F">
        <w:rPr>
          <w:rStyle w:val="Normal"/>
          <w:rFonts w:ascii="Calibri" w:hAnsi="Calibri" w:cs="Calibri"/>
          <w:i/>
          <w:sz w:val="24"/>
          <w:szCs w:val="24"/>
        </w:rPr>
        <w:t>колко далеч е необходимо да се отиде в опит</w:t>
      </w:r>
      <w:r w:rsidRPr="0070571F">
        <w:rPr>
          <w:rStyle w:val="Normal"/>
          <w:rFonts w:ascii="Calibri" w:hAnsi="Calibri" w:cs="Calibri"/>
          <w:i/>
          <w:sz w:val="24"/>
          <w:szCs w:val="24"/>
        </w:rPr>
        <w:t xml:space="preserve"> да се преодолее извънредната ситуация.</w:t>
      </w:r>
      <w:r w:rsidRPr="0070571F">
        <w:rPr>
          <w:rStyle w:val="Normal"/>
          <w:rFonts w:ascii="Calibri" w:hAnsi="Calibri" w:cs="Calibri"/>
          <w:i/>
          <w:color w:val="000000"/>
          <w:sz w:val="24"/>
          <w:szCs w:val="24"/>
        </w:rPr>
        <w:t xml:space="preserve"> Поради техния пряк и непре</w:t>
      </w:r>
      <w:r w:rsidR="00FC0F3E" w:rsidRPr="0070571F">
        <w:rPr>
          <w:rStyle w:val="Normal"/>
          <w:rFonts w:ascii="Calibri" w:hAnsi="Calibri" w:cs="Calibri"/>
          <w:i/>
          <w:color w:val="000000"/>
          <w:sz w:val="24"/>
          <w:szCs w:val="24"/>
        </w:rPr>
        <w:t xml:space="preserve">станен </w:t>
      </w:r>
      <w:r w:rsidRPr="0070571F">
        <w:rPr>
          <w:rStyle w:val="Normal"/>
          <w:rFonts w:ascii="Calibri" w:hAnsi="Calibri" w:cs="Calibri"/>
          <w:i/>
          <w:color w:val="000000"/>
          <w:sz w:val="24"/>
          <w:szCs w:val="24"/>
        </w:rPr>
        <w:t xml:space="preserve">контакт с </w:t>
      </w:r>
      <w:r w:rsidR="00FC0F3E" w:rsidRPr="0070571F">
        <w:rPr>
          <w:rStyle w:val="Normal"/>
          <w:rFonts w:ascii="Calibri" w:hAnsi="Calibri" w:cs="Calibri"/>
          <w:i/>
          <w:color w:val="000000"/>
          <w:sz w:val="24"/>
          <w:szCs w:val="24"/>
        </w:rPr>
        <w:lastRenderedPageBreak/>
        <w:t>належащите потребности  в</w:t>
      </w:r>
      <w:r w:rsidRPr="0070571F">
        <w:rPr>
          <w:rStyle w:val="Normal"/>
          <w:rFonts w:ascii="Calibri" w:hAnsi="Calibri" w:cs="Calibri"/>
          <w:i/>
          <w:color w:val="000000"/>
          <w:sz w:val="24"/>
          <w:szCs w:val="24"/>
        </w:rPr>
        <w:t xml:space="preserve"> момент</w:t>
      </w:r>
      <w:r w:rsidR="00FC0F3E" w:rsidRPr="0070571F">
        <w:rPr>
          <w:rStyle w:val="Normal"/>
          <w:rFonts w:ascii="Calibri" w:hAnsi="Calibri" w:cs="Calibri"/>
          <w:i/>
          <w:color w:val="000000"/>
          <w:sz w:val="24"/>
          <w:szCs w:val="24"/>
        </w:rPr>
        <w:t>а</w:t>
      </w:r>
      <w:r w:rsidRPr="0070571F">
        <w:rPr>
          <w:rStyle w:val="Normal"/>
          <w:rFonts w:ascii="Calibri" w:hAnsi="Calibri" w:cs="Calibri"/>
          <w:i/>
          <w:color w:val="000000"/>
          <w:sz w:val="24"/>
          <w:szCs w:val="24"/>
        </w:rPr>
        <w:t xml:space="preserve">, националните </w:t>
      </w:r>
      <w:r w:rsidR="00FC0F3E" w:rsidRPr="0070571F">
        <w:rPr>
          <w:rStyle w:val="Normal"/>
          <w:rFonts w:ascii="Calibri" w:hAnsi="Calibri" w:cs="Calibri"/>
          <w:i/>
          <w:color w:val="000000"/>
          <w:sz w:val="24"/>
          <w:szCs w:val="24"/>
        </w:rPr>
        <w:t xml:space="preserve">власти </w:t>
      </w:r>
      <w:r w:rsidRPr="0070571F">
        <w:rPr>
          <w:rStyle w:val="Normal"/>
          <w:rFonts w:ascii="Calibri" w:hAnsi="Calibri" w:cs="Calibri"/>
          <w:i/>
          <w:color w:val="000000"/>
          <w:sz w:val="24"/>
          <w:szCs w:val="24"/>
        </w:rPr>
        <w:t>по принцип са в по-добра позиция от международния съдия да вземат решения, както за наличието на такава извънредна ситуация, така и за естеството и обхвата на необходимите дерогации</w:t>
      </w:r>
      <w:r w:rsidR="00FC0F3E" w:rsidRPr="0070571F">
        <w:rPr>
          <w:rStyle w:val="Normal"/>
          <w:rFonts w:ascii="Calibri" w:hAnsi="Calibri" w:cs="Calibri"/>
          <w:i/>
          <w:color w:val="000000"/>
          <w:sz w:val="24"/>
          <w:szCs w:val="24"/>
        </w:rPr>
        <w:t xml:space="preserve"> в отговор</w:t>
      </w:r>
      <w:r w:rsidRPr="0070571F">
        <w:rPr>
          <w:rStyle w:val="Normal"/>
          <w:rFonts w:ascii="Calibri" w:hAnsi="Calibri" w:cs="Calibri"/>
          <w:i/>
          <w:color w:val="000000"/>
          <w:sz w:val="24"/>
          <w:szCs w:val="24"/>
        </w:rPr>
        <w:t xml:space="preserve">. </w:t>
      </w:r>
      <w:r w:rsidRPr="0070571F">
        <w:rPr>
          <w:rStyle w:val="Normal"/>
          <w:rFonts w:ascii="Calibri" w:hAnsi="Calibri" w:cs="Calibri"/>
          <w:i/>
          <w:sz w:val="24"/>
          <w:szCs w:val="24"/>
        </w:rPr>
        <w:t>По този въпрос член 15, параграф 1 (...) ос</w:t>
      </w:r>
      <w:r w:rsidR="00B90E29" w:rsidRPr="0070571F">
        <w:rPr>
          <w:rStyle w:val="Normal"/>
          <w:rFonts w:ascii="Calibri" w:hAnsi="Calibri" w:cs="Calibri"/>
          <w:i/>
          <w:sz w:val="24"/>
          <w:szCs w:val="24"/>
        </w:rPr>
        <w:t>тавя на</w:t>
      </w:r>
      <w:r w:rsidRPr="0070571F">
        <w:rPr>
          <w:rStyle w:val="Normal"/>
          <w:rFonts w:ascii="Calibri" w:hAnsi="Calibri" w:cs="Calibri"/>
          <w:i/>
          <w:sz w:val="24"/>
          <w:szCs w:val="24"/>
        </w:rPr>
        <w:t xml:space="preserve"> власти</w:t>
      </w:r>
      <w:r w:rsidR="00B90E29" w:rsidRPr="0070571F">
        <w:rPr>
          <w:rStyle w:val="Normal"/>
          <w:rFonts w:ascii="Calibri" w:hAnsi="Calibri" w:cs="Calibri"/>
          <w:i/>
          <w:sz w:val="24"/>
          <w:szCs w:val="24"/>
        </w:rPr>
        <w:t>те</w:t>
      </w:r>
      <w:r w:rsidRPr="0070571F">
        <w:rPr>
          <w:rStyle w:val="Normal"/>
          <w:rFonts w:ascii="Calibri" w:hAnsi="Calibri" w:cs="Calibri"/>
          <w:i/>
          <w:sz w:val="24"/>
          <w:szCs w:val="24"/>
        </w:rPr>
        <w:t xml:space="preserve"> широка свобода на преценка.</w:t>
      </w:r>
      <w:r w:rsidRPr="0070571F">
        <w:rPr>
          <w:rStyle w:val="Normal"/>
          <w:rFonts w:ascii="Calibri" w:hAnsi="Calibri" w:cs="Calibri"/>
          <w:i/>
          <w:sz w:val="24"/>
          <w:szCs w:val="24"/>
          <w:cs/>
        </w:rPr>
        <w:t>“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3"/>
      </w:r>
    </w:p>
    <w:p w:rsidR="00FD0718" w:rsidRPr="0070571F" w:rsidRDefault="00FD0718" w:rsidP="00FB63EE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Дерогацията също е предмет на формални изисквания: Генералният секретар на Съвета на Европа, като депозитар на Конвенцията, трябва да бъде напълно информиран за п</w:t>
      </w:r>
      <w:r w:rsidR="00FB63EE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редприетите мерки, за причините, довели до тях, както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и за момента, в който тез</w:t>
      </w:r>
      <w:r w:rsidR="00FB63EE" w:rsidRPr="0070571F">
        <w:rPr>
          <w:rStyle w:val="Normal"/>
          <w:rFonts w:ascii="Calibri" w:hAnsi="Calibri" w:cs="Calibri"/>
          <w:color w:val="000000"/>
          <w:sz w:val="24"/>
          <w:szCs w:val="24"/>
        </w:rPr>
        <w:t>и мерки ще престанат да действат</w:t>
      </w:r>
      <w:r w:rsidR="00FB63EE" w:rsidRPr="0070571F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70571F">
          <w:rPr>
            <w:rStyle w:val="Normal"/>
            <w:rFonts w:ascii="Calibri" w:hAnsi="Calibri" w:cs="Calibri"/>
            <w:color w:val="0066CC"/>
            <w:sz w:val="24"/>
            <w:szCs w:val="24"/>
            <w:u w:val="single"/>
          </w:rPr>
          <w:t>(https://www.coe.int/en/web/conventions/full-list/-/conventions/webContent/62111354)</w:t>
        </w:r>
      </w:hyperlink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</w:t>
      </w:r>
    </w:p>
    <w:p w:rsidR="00FD0718" w:rsidRPr="0070571F" w:rsidRDefault="00FD0718" w:rsidP="00CF7A87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Определени права по </w:t>
      </w:r>
      <w:r w:rsidR="00FC0F3E" w:rsidRPr="0070571F">
        <w:rPr>
          <w:rStyle w:val="Normal"/>
          <w:rFonts w:ascii="Calibri" w:hAnsi="Calibri" w:cs="Calibri"/>
          <w:color w:val="000000"/>
          <w:sz w:val="24"/>
          <w:szCs w:val="24"/>
        </w:rPr>
        <w:t>К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онвенцията не позволяват дерогация: правото на живот, освен в контекста на законни действия в условията на война (член 2), забрана на изтезания и нечовешко или унизително отношение или наказание (член 3), забрана на робството и </w:t>
      </w:r>
      <w:r w:rsidR="00FC0F3E" w:rsidRPr="0070571F">
        <w:rPr>
          <w:rStyle w:val="Normal"/>
          <w:rFonts w:ascii="Calibri" w:hAnsi="Calibri" w:cs="Calibri"/>
          <w:color w:val="000000"/>
          <w:sz w:val="24"/>
          <w:szCs w:val="24"/>
        </w:rPr>
        <w:t>принудителния труд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(член 4, параграф 1) и правилото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  <w:cs/>
        </w:rPr>
        <w:t>„</w:t>
      </w:r>
      <w:r w:rsidR="00FC0F3E" w:rsidRPr="0070571F">
        <w:rPr>
          <w:rStyle w:val="Normal"/>
          <w:rFonts w:ascii="Calibri" w:hAnsi="Calibri" w:cs="Calibri" w:hint="cs"/>
          <w:color w:val="000000"/>
          <w:sz w:val="24"/>
          <w:szCs w:val="24"/>
          <w:cs/>
        </w:rPr>
        <w:t xml:space="preserve">неналагане на наказание без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закон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  <w:cs/>
        </w:rPr>
        <w:t xml:space="preserve">“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(член 7). </w:t>
      </w:r>
      <w:r w:rsidRPr="0070571F">
        <w:rPr>
          <w:rStyle w:val="Normal"/>
          <w:rFonts w:ascii="Calibri" w:hAnsi="Calibri" w:cs="Calibri"/>
          <w:sz w:val="24"/>
          <w:szCs w:val="24"/>
        </w:rPr>
        <w:t>Не може да има дерогация от премахването на смъртното наказание или правото на дадено лице да не бъде съдено или наказ</w:t>
      </w:r>
      <w:r w:rsidR="00FB63EE" w:rsidRPr="0070571F">
        <w:rPr>
          <w:rStyle w:val="Normal"/>
          <w:rFonts w:ascii="Calibri" w:hAnsi="Calibri" w:cs="Calibri"/>
          <w:sz w:val="24"/>
          <w:szCs w:val="24"/>
        </w:rPr>
        <w:t>в</w:t>
      </w:r>
      <w:r w:rsidRPr="0070571F">
        <w:rPr>
          <w:rStyle w:val="Normal"/>
          <w:rFonts w:ascii="Calibri" w:hAnsi="Calibri" w:cs="Calibri"/>
          <w:sz w:val="24"/>
          <w:szCs w:val="24"/>
        </w:rPr>
        <w:t xml:space="preserve">ано два пъти (протоколи </w:t>
      </w:r>
      <w:r w:rsidRPr="0070571F">
        <w:rPr>
          <w:rStyle w:val="Normal"/>
          <w:rFonts w:ascii="Calibri" w:hAnsi="Calibri" w:cs="Calibri"/>
          <w:sz w:val="24"/>
          <w:szCs w:val="24"/>
          <w:cs/>
        </w:rPr>
        <w:t xml:space="preserve">№ </w:t>
      </w:r>
      <w:r w:rsidRPr="0070571F">
        <w:rPr>
          <w:rStyle w:val="Normal"/>
          <w:rFonts w:ascii="Calibri" w:hAnsi="Calibri" w:cs="Calibri"/>
          <w:sz w:val="24"/>
          <w:szCs w:val="24"/>
        </w:rPr>
        <w:t xml:space="preserve">6 и 13, както и член 4 от Протокол </w:t>
      </w:r>
      <w:r w:rsidRPr="0070571F">
        <w:rPr>
          <w:rStyle w:val="Normal"/>
          <w:rFonts w:ascii="Calibri" w:hAnsi="Calibri" w:cs="Calibri"/>
          <w:sz w:val="24"/>
          <w:szCs w:val="24"/>
          <w:cs/>
        </w:rPr>
        <w:t xml:space="preserve">№ </w:t>
      </w:r>
      <w:r w:rsidRPr="0070571F">
        <w:rPr>
          <w:rStyle w:val="Normal"/>
          <w:rFonts w:ascii="Calibri" w:hAnsi="Calibri" w:cs="Calibri"/>
          <w:sz w:val="24"/>
          <w:szCs w:val="24"/>
        </w:rPr>
        <w:t>7).</w:t>
      </w:r>
    </w:p>
    <w:p w:rsidR="00FD0718" w:rsidRPr="0070571F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D0718" w:rsidRPr="0070571F" w:rsidRDefault="00FD0718" w:rsidP="00FB63EE">
      <w:pPr>
        <w:shd w:val="clear" w:color="auto" w:fill="FFFFFF"/>
        <w:spacing w:after="120" w:line="276" w:lineRule="auto"/>
        <w:ind w:firstLine="720"/>
        <w:jc w:val="both"/>
        <w:rPr>
          <w:rStyle w:val="Normal"/>
          <w:rFonts w:ascii="Calibri" w:hAnsi="Calibri" w:cs="Calibri"/>
          <w:color w:val="000000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Дерогацията, съгласно член 15, не зависи от официалното приемане на извънредно положение или друг подобен режим на национално ниво. В същото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lastRenderedPageBreak/>
        <w:t>време всяка дерогация трябва да има ясн</w:t>
      </w:r>
      <w:r w:rsidR="005D40CB" w:rsidRPr="0070571F">
        <w:rPr>
          <w:rStyle w:val="Normal"/>
          <w:rFonts w:ascii="Calibri" w:hAnsi="Calibri" w:cs="Calibri"/>
          <w:color w:val="000000"/>
          <w:sz w:val="24"/>
          <w:szCs w:val="24"/>
        </w:rPr>
        <w:t>о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основа</w:t>
      </w:r>
      <w:r w:rsidR="005D40CB" w:rsidRPr="0070571F">
        <w:rPr>
          <w:rStyle w:val="Normal"/>
          <w:rFonts w:ascii="Calibri" w:hAnsi="Calibri" w:cs="Calibri"/>
          <w:color w:val="000000"/>
          <w:sz w:val="24"/>
          <w:szCs w:val="24"/>
        </w:rPr>
        <w:t>ние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във вътрешното законодателство, за да </w:t>
      </w:r>
      <w:r w:rsidR="00FB63EE" w:rsidRPr="0070571F">
        <w:rPr>
          <w:rStyle w:val="Normal"/>
          <w:rFonts w:ascii="Calibri" w:hAnsi="Calibri" w:cs="Calibri"/>
          <w:color w:val="000000"/>
          <w:sz w:val="24"/>
          <w:szCs w:val="24"/>
        </w:rPr>
        <w:t>има защита срещу</w:t>
      </w:r>
      <w:r w:rsidR="005D40CB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произвол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, и трябва да бъде строго необходима за борба с обществените извънредни ситуации. Държавите трябва да имат предвид, че всички предприети мерки трябва да се стремят да защитават демократичния ред от заплахите за него и трябва да се полагат всички усилия за защита ценностите на демократичното общество, като плурализъм, толерантност и либералност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4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. Въпреки че дерогациите са приети от Съда, за да оправдаят някои изключения от стандартите на Конвенцията, те никога не могат да оправдаят действия, които противоречат на </w:t>
      </w:r>
      <w:r w:rsidR="00FB63EE" w:rsidRPr="0070571F">
        <w:rPr>
          <w:rStyle w:val="Normal"/>
          <w:rFonts w:ascii="Calibri" w:hAnsi="Calibri" w:cs="Calibri"/>
          <w:color w:val="000000"/>
          <w:sz w:val="24"/>
          <w:szCs w:val="24"/>
        </w:rPr>
        <w:t>основополагащите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изисквания на Конвенцията за законосъобразност и пропорционалност.</w:t>
      </w:r>
    </w:p>
    <w:p w:rsidR="005D40CB" w:rsidRPr="007173EE" w:rsidRDefault="005D40CB" w:rsidP="00FB63EE">
      <w:pPr>
        <w:shd w:val="clear" w:color="auto" w:fill="FFFFFF"/>
        <w:spacing w:after="120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</w:p>
    <w:p w:rsidR="00FD0718" w:rsidRPr="0070571F" w:rsidRDefault="00FD0718" w:rsidP="00FB63EE">
      <w:pPr>
        <w:shd w:val="clear" w:color="auto" w:fill="FFFFFF"/>
        <w:spacing w:after="120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color w:val="000000"/>
          <w:sz w:val="24"/>
          <w:szCs w:val="24"/>
        </w:rPr>
        <w:t>2. Зачитане върховенството на</w:t>
      </w:r>
      <w:r w:rsidR="000654C9">
        <w:rPr>
          <w:rStyle w:val="Normal"/>
          <w:rFonts w:ascii="Calibri" w:hAnsi="Calibri" w:cs="Calibri"/>
          <w:b/>
          <w:color w:val="000000"/>
          <w:sz w:val="24"/>
          <w:szCs w:val="24"/>
        </w:rPr>
        <w:t xml:space="preserve"> правото</w:t>
      </w:r>
      <w:r w:rsidRPr="0070571F">
        <w:rPr>
          <w:rStyle w:val="Normal"/>
          <w:rFonts w:ascii="Calibri" w:hAnsi="Calibri" w:cs="Calibri"/>
          <w:b/>
          <w:color w:val="000000"/>
          <w:sz w:val="24"/>
          <w:szCs w:val="24"/>
        </w:rPr>
        <w:t xml:space="preserve"> и демократичните принципи по време на извънредни ситуации</w:t>
      </w:r>
    </w:p>
    <w:p w:rsidR="00FD0718" w:rsidRPr="0070571F" w:rsidRDefault="005D40CB" w:rsidP="00FB63EE">
      <w:pPr>
        <w:shd w:val="clear" w:color="auto" w:fill="FFFFFF"/>
        <w:spacing w:after="120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2.1. Принципът за</w:t>
      </w:r>
      <w:r w:rsidR="00FD0718"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 xml:space="preserve"> законност</w:t>
      </w:r>
    </w:p>
    <w:p w:rsidR="00FD0718" w:rsidRPr="0070571F" w:rsidRDefault="00FB63EE" w:rsidP="006D1E31">
      <w:pPr>
        <w:shd w:val="clear" w:color="auto" w:fill="FFFFFF"/>
        <w:spacing w:after="120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В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ърховенството на </w:t>
      </w:r>
      <w:r w:rsidR="005D40CB" w:rsidRPr="0070571F">
        <w:rPr>
          <w:rStyle w:val="Normal"/>
          <w:rFonts w:ascii="Calibri" w:hAnsi="Calibri" w:cs="Calibri"/>
          <w:color w:val="000000"/>
          <w:sz w:val="24"/>
          <w:szCs w:val="24"/>
        </w:rPr>
        <w:t>правото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трябва да надделява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дори в извънредна ситуация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>.</w:t>
      </w:r>
      <w:r w:rsidR="00FD0718"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5"/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Основен принцип на върховенството на </w:t>
      </w:r>
      <w:r w:rsidR="005D40CB" w:rsidRPr="0070571F">
        <w:rPr>
          <w:rStyle w:val="Normal"/>
          <w:rFonts w:ascii="Calibri" w:hAnsi="Calibri" w:cs="Calibri"/>
          <w:color w:val="000000"/>
          <w:sz w:val="24"/>
          <w:szCs w:val="24"/>
        </w:rPr>
        <w:t>правото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е, че действия </w:t>
      </w:r>
      <w:r w:rsidR="005D40CB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на </w:t>
      </w:r>
      <w:r w:rsidR="005D40CB" w:rsidRPr="005D40CB">
        <w:rPr>
          <w:rStyle w:val="Normal"/>
          <w:rFonts w:ascii="Calibri" w:hAnsi="Calibri" w:cs="Calibri"/>
          <w:color w:val="000000"/>
          <w:sz w:val="24"/>
          <w:szCs w:val="24"/>
        </w:rPr>
        <w:t>държав</w:t>
      </w:r>
      <w:r w:rsidR="005D40CB">
        <w:rPr>
          <w:rStyle w:val="Normal"/>
          <w:rFonts w:ascii="Calibri" w:hAnsi="Calibri" w:cs="Calibri"/>
          <w:color w:val="000000"/>
          <w:sz w:val="24"/>
          <w:szCs w:val="24"/>
        </w:rPr>
        <w:t>е</w:t>
      </w:r>
      <w:r w:rsidR="005D40CB" w:rsidRPr="005D40CB">
        <w:rPr>
          <w:rStyle w:val="Normal"/>
          <w:rFonts w:ascii="Calibri" w:hAnsi="Calibri" w:cs="Calibri"/>
          <w:color w:val="000000"/>
          <w:sz w:val="24"/>
          <w:szCs w:val="24"/>
        </w:rPr>
        <w:t xml:space="preserve">н 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>трябва да бъдат в съответствие със закона.</w:t>
      </w:r>
      <w:r w:rsidR="00FD0718"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6"/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  <w:cs/>
        </w:rPr>
        <w:t>„</w:t>
      </w:r>
      <w:r w:rsidR="005D40CB" w:rsidRPr="0070571F">
        <w:rPr>
          <w:rStyle w:val="Normal"/>
          <w:rFonts w:ascii="Calibri" w:hAnsi="Calibri" w:cs="Calibri"/>
          <w:color w:val="000000"/>
          <w:sz w:val="24"/>
          <w:szCs w:val="24"/>
        </w:rPr>
        <w:t>Законът</w:t>
      </w:r>
      <w:r w:rsidR="005D40CB" w:rsidRPr="0070571F">
        <w:rPr>
          <w:rStyle w:val="Normal"/>
          <w:rFonts w:ascii="Calibri" w:hAnsi="Calibri" w:cs="Calibri" w:hint="cs"/>
          <w:color w:val="000000"/>
          <w:sz w:val="24"/>
          <w:szCs w:val="24"/>
        </w:rPr>
        <w:t>“</w:t>
      </w:r>
      <w:r w:rsidR="005D40CB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="005D40CB" w:rsidRPr="0070571F">
        <w:rPr>
          <w:rStyle w:val="Normal"/>
          <w:rFonts w:ascii="Calibri" w:hAnsi="Calibri" w:cs="Calibri" w:hint="cs"/>
          <w:color w:val="000000"/>
          <w:sz w:val="24"/>
          <w:szCs w:val="24"/>
        </w:rPr>
        <w:t>в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този контекст включва не 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lastRenderedPageBreak/>
        <w:t>само актове на Парламента, но и</w:t>
      </w:r>
      <w:r w:rsidR="005D40CB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например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="006D1E31" w:rsidRPr="0070571F">
        <w:rPr>
          <w:rStyle w:val="Normal"/>
          <w:rFonts w:ascii="Calibri" w:hAnsi="Calibri" w:cs="Calibri"/>
          <w:color w:val="000000"/>
          <w:sz w:val="24"/>
          <w:szCs w:val="24"/>
        </w:rPr>
        <w:t>извънредни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постановления на изпълнителната власт, при условие че те имат конституционно основание. Много конституции предвиждат специален правен режим (или режими), увеличаващ правомощията на органите на изпълнителната власт в случай на война или голямо природно или друго бедствие.</w:t>
      </w:r>
      <w:r w:rsidR="00FD0718"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7"/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Възможно е също така законодателят да приеме извънредни закони, специално из</w:t>
      </w:r>
      <w:r w:rsidR="00FF2C4A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готвени 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за справяне с настоящата криза, които надхвърлят съществуващите правни норми. Всяко ново законодателство от този вид трябва да съответства на конституцията и международните стандарти и, когато е приложимо, да бъде подложено на преглед от Конституционния съд. Ако парламентът иска да </w:t>
      </w:r>
      <w:r w:rsidR="000654C9">
        <w:rPr>
          <w:rStyle w:val="Normal"/>
          <w:rFonts w:ascii="Calibri" w:hAnsi="Calibri" w:cs="Calibri"/>
          <w:color w:val="000000"/>
          <w:sz w:val="24"/>
          <w:szCs w:val="24"/>
        </w:rPr>
        <w:t>делегира на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правителството да </w:t>
      </w:r>
      <w:r w:rsidR="00D60D10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приеме </w:t>
      </w:r>
      <w:r w:rsidR="00FF2C4A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>законодателството</w:t>
      </w:r>
      <w:r w:rsidR="00D60D10" w:rsidRPr="0070571F">
        <w:rPr>
          <w:rStyle w:val="Normal"/>
          <w:rFonts w:ascii="Calibri" w:hAnsi="Calibri" w:cs="Calibri"/>
          <w:color w:val="000000"/>
          <w:sz w:val="24"/>
          <w:szCs w:val="24"/>
        </w:rPr>
        <w:t>, за което се изисква специално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мнозинство (или законодателство, прието след друга специална процедура), това трябва да стане с мнозинството, необходимо за приемането на законодателството или следвайки същата специална процедура.</w:t>
      </w:r>
    </w:p>
    <w:p w:rsidR="00FD0718" w:rsidRPr="0070571F" w:rsidRDefault="00FD0718" w:rsidP="006D1E31">
      <w:pPr>
        <w:shd w:val="clear" w:color="auto" w:fill="FFFFFF"/>
        <w:spacing w:after="120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 xml:space="preserve">2.2. Ограничена продължителност на режима на извънредно положение и на </w:t>
      </w:r>
      <w:r w:rsidR="006D1E31"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извънредните</w:t>
      </w: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 xml:space="preserve"> мерки</w:t>
      </w:r>
    </w:p>
    <w:p w:rsidR="00FD0718" w:rsidRPr="0070571F" w:rsidRDefault="00FD0718" w:rsidP="006D1E31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По време на извънредното положение правителствата могат да получат общо право да издават укази, които </w:t>
      </w:r>
      <w:r w:rsidR="006D1E31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да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имат силата на закон</w:t>
      </w:r>
      <w:r w:rsidR="006D1E31" w:rsidRPr="0070571F">
        <w:rPr>
          <w:rStyle w:val="Normal"/>
          <w:rFonts w:ascii="Calibri" w:hAnsi="Calibri" w:cs="Calibri"/>
          <w:color w:val="000000"/>
          <w:sz w:val="24"/>
          <w:szCs w:val="24"/>
        </w:rPr>
        <w:t>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 Това е приемливо, при условие че тези общи правомощия са с ограничена продължителност. Основната цел на извънредния режим (или подобно положение) е да овладее развитието на кризата и да се върне, колкото е възможно по-бързо, към нормалността.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8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Удъл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lastRenderedPageBreak/>
        <w:t>жаването на извънредния режим трябва да бъде подчинено на контрола върху неговата необходимост от парламента. Неопределено продължаване на общите изключителни правомощия на изпълнителната власт е недопустимо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9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</w:t>
      </w:r>
    </w:p>
    <w:p w:rsidR="00FD0718" w:rsidRDefault="00FD0718" w:rsidP="0060640F">
      <w:pPr>
        <w:shd w:val="clear" w:color="auto" w:fill="FFFFFF"/>
        <w:spacing w:line="276" w:lineRule="auto"/>
        <w:ind w:firstLine="720"/>
        <w:jc w:val="both"/>
        <w:rPr>
          <w:rStyle w:val="Normal"/>
          <w:rFonts w:ascii="Calibri" w:hAnsi="Calibri" w:cs="Calibri"/>
          <w:color w:val="000000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По време на извънредното положение, не само правомощията на правителството да приема законодателство трябва да бъдат ограничени от продължителността на извънредното положение, но и всяко законодателство, прието по време на извънредното положение, също трябва да включва ясни срокове за продължителността на тези изключителни мерки (като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  <w:cs/>
        </w:rPr>
        <w:t>„</w:t>
      </w:r>
      <w:r w:rsidR="004E2C00" w:rsidRPr="0070571F">
        <w:rPr>
          <w:rStyle w:val="Normal"/>
          <w:rFonts w:ascii="Calibri" w:hAnsi="Calibri" w:cs="Calibri"/>
          <w:color w:val="000000"/>
          <w:sz w:val="24"/>
          <w:szCs w:val="24"/>
        </w:rPr>
        <w:t>разпоредба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за автоматичн</w:t>
      </w:r>
      <w:r w:rsidR="004E2C00" w:rsidRPr="0070571F">
        <w:rPr>
          <w:rStyle w:val="Normal"/>
          <w:rFonts w:ascii="Calibri" w:hAnsi="Calibri" w:cs="Calibri"/>
          <w:color w:val="000000"/>
          <w:sz w:val="24"/>
          <w:szCs w:val="24"/>
        </w:rPr>
        <w:t>а отмяна на зак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о</w:t>
      </w:r>
      <w:r w:rsidR="004E2C00" w:rsidRPr="0070571F">
        <w:rPr>
          <w:rStyle w:val="Normal"/>
          <w:rFonts w:ascii="Calibri" w:hAnsi="Calibri" w:cs="Calibri"/>
          <w:color w:val="000000"/>
          <w:sz w:val="24"/>
          <w:szCs w:val="24"/>
        </w:rPr>
        <w:t>на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  <w:cs/>
        </w:rPr>
        <w:t>“</w:t>
      </w:r>
      <w:r w:rsidR="004E2C00" w:rsidRPr="0070571F">
        <w:rPr>
          <w:rStyle w:val="Normal"/>
          <w:rFonts w:ascii="Calibri" w:hAnsi="Calibri" w:cs="Calibri" w:hint="cs"/>
          <w:color w:val="000000"/>
          <w:sz w:val="24"/>
          <w:szCs w:val="24"/>
          <w:cs/>
        </w:rPr>
        <w:t xml:space="preserve"> т.нар "</w:t>
      </w:r>
      <w:r w:rsidR="004E2C00" w:rsidRPr="0070571F">
        <w:rPr>
          <w:rStyle w:val="Normal"/>
          <w:rFonts w:ascii="Calibri" w:hAnsi="Calibri" w:cs="Calibri"/>
          <w:color w:val="000000"/>
          <w:sz w:val="24"/>
          <w:szCs w:val="24"/>
          <w:lang w:val="en-US"/>
        </w:rPr>
        <w:t>sunset</w:t>
      </w:r>
      <w:r w:rsidR="004E2C00" w:rsidRPr="007173EE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="004E2C00" w:rsidRPr="0070571F">
        <w:rPr>
          <w:rStyle w:val="Normal"/>
          <w:rFonts w:ascii="Calibri" w:hAnsi="Calibri" w:cs="Calibri"/>
          <w:color w:val="000000"/>
          <w:sz w:val="24"/>
          <w:szCs w:val="24"/>
          <w:lang w:val="en-US"/>
        </w:rPr>
        <w:t>clause</w:t>
      </w:r>
      <w:r w:rsidR="00E64E14" w:rsidRPr="0070571F">
        <w:rPr>
          <w:rStyle w:val="Normal"/>
          <w:rFonts w:ascii="Calibri" w:hAnsi="Calibri" w:cs="Calibri"/>
          <w:color w:val="000000"/>
          <w:sz w:val="24"/>
          <w:szCs w:val="24"/>
        </w:rPr>
        <w:t>“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). В действителност, след края на извънредната ситуация може да бъде оправдано продължаване приложението на определени специфични, целенасочени мерки, но такова продължаване</w:t>
      </w:r>
      <w:r w:rsidR="00ED6B82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попада в компетентността на парламента чрез обикновените процедури.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10"/>
      </w:r>
    </w:p>
    <w:p w:rsidR="0060640F" w:rsidRPr="0060640F" w:rsidRDefault="0060640F" w:rsidP="0060640F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D0718" w:rsidRPr="0070571F" w:rsidRDefault="00FD0718" w:rsidP="006D1E31">
      <w:pPr>
        <w:shd w:val="clear" w:color="auto" w:fill="FFFFFF"/>
        <w:spacing w:after="120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 xml:space="preserve">2.3. Ограничен обхват на извънредното законодателство; принципът </w:t>
      </w:r>
      <w:r w:rsidR="0060640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з</w:t>
      </w: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а необходимост</w:t>
      </w:r>
    </w:p>
    <w:p w:rsidR="0060640F" w:rsidRDefault="00FD0718" w:rsidP="0060640F">
      <w:pPr>
        <w:shd w:val="clear" w:color="auto" w:fill="FFFFFF"/>
        <w:spacing w:after="120" w:line="276" w:lineRule="auto"/>
        <w:ind w:firstLine="720"/>
        <w:jc w:val="both"/>
        <w:rPr>
          <w:rStyle w:val="Normal"/>
          <w:rFonts w:ascii="Calibri" w:hAnsi="Calibri" w:cs="Calibri"/>
          <w:color w:val="000000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Принципът </w:t>
      </w:r>
      <w:r w:rsidR="0060640F">
        <w:rPr>
          <w:rStyle w:val="Normal"/>
          <w:rFonts w:ascii="Calibri" w:hAnsi="Calibri" w:cs="Calibri"/>
          <w:color w:val="000000"/>
          <w:sz w:val="24"/>
          <w:szCs w:val="24"/>
        </w:rPr>
        <w:t>з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а необходимост изисква извънредните мерки да бъдат в състояние да постигнат целта си с минимално изменение на нормалните правила и процедури на демократично вземане на решения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11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. </w:t>
      </w:r>
      <w:r w:rsidRPr="0070571F">
        <w:rPr>
          <w:rStyle w:val="Normal"/>
          <w:rFonts w:ascii="Calibri" w:hAnsi="Calibri" w:cs="Calibri"/>
          <w:sz w:val="24"/>
          <w:szCs w:val="24"/>
        </w:rPr>
        <w:t xml:space="preserve">Следователно, правомощието на правителството да издава извънредни постановления не трябва да води до </w:t>
      </w:r>
      <w:r w:rsidR="006D1E31" w:rsidRPr="0070571F">
        <w:rPr>
          <w:rStyle w:val="Normal"/>
          <w:rFonts w:ascii="Calibri" w:hAnsi="Calibri" w:cs="Calibri"/>
          <w:sz w:val="24"/>
          <w:szCs w:val="24"/>
        </w:rPr>
        <w:t xml:space="preserve">пълна </w:t>
      </w:r>
      <w:r w:rsidRPr="0070571F">
        <w:rPr>
          <w:rStyle w:val="Normal"/>
          <w:rFonts w:ascii="Calibri" w:hAnsi="Calibri" w:cs="Calibri"/>
          <w:sz w:val="24"/>
          <w:szCs w:val="24"/>
        </w:rPr>
        <w:t>свобода на действие (</w:t>
      </w:r>
      <w:r w:rsidRPr="0070571F">
        <w:rPr>
          <w:rStyle w:val="Normal"/>
          <w:rFonts w:ascii="Calibri" w:hAnsi="Calibri" w:cs="Calibri"/>
          <w:i/>
          <w:color w:val="000000"/>
          <w:sz w:val="24"/>
          <w:szCs w:val="24"/>
        </w:rPr>
        <w:t>carte blanche</w:t>
      </w:r>
      <w:r w:rsidRPr="0070571F">
        <w:rPr>
          <w:rStyle w:val="Normal"/>
          <w:rFonts w:ascii="Calibri" w:hAnsi="Calibri" w:cs="Calibri"/>
          <w:sz w:val="24"/>
          <w:szCs w:val="24"/>
        </w:rPr>
        <w:t>), предоставено от законодателя на изпълнителната власт.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Предвид бързото и непредвидимо развитие на кризата, може да е необходимо сравнително широко законодателно делегиране, но то трябва да бъде формулирано възможно най-тясно при тези обстоятелства, за да се </w:t>
      </w:r>
      <w:r w:rsidR="0060640F">
        <w:rPr>
          <w:rStyle w:val="Normal"/>
          <w:rFonts w:ascii="Calibri" w:hAnsi="Calibri" w:cs="Calibri"/>
          <w:color w:val="000000"/>
          <w:sz w:val="24"/>
          <w:szCs w:val="24"/>
        </w:rPr>
        <w:t>избегнат евентуални злоупотреби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12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. Като общо правило, фундаменталните </w:t>
      </w:r>
      <w:r w:rsidR="005D562F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законодателни </w:t>
      </w:r>
      <w:r w:rsidR="0060640F">
        <w:rPr>
          <w:rStyle w:val="Normal"/>
          <w:rFonts w:ascii="Calibri" w:hAnsi="Calibri" w:cs="Calibri"/>
          <w:color w:val="000000"/>
          <w:sz w:val="24"/>
          <w:szCs w:val="24"/>
        </w:rPr>
        <w:t>реформи трябва да бъдат спре</w:t>
      </w:r>
      <w:r w:rsidR="0060640F" w:rsidRPr="0070571F">
        <w:rPr>
          <w:rStyle w:val="Normal"/>
          <w:rFonts w:ascii="Calibri" w:hAnsi="Calibri" w:cs="Calibri"/>
          <w:color w:val="000000"/>
          <w:sz w:val="24"/>
          <w:szCs w:val="24"/>
        </w:rPr>
        <w:t>ни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по време на извънредното положение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13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</w:t>
      </w:r>
    </w:p>
    <w:p w:rsidR="0060640F" w:rsidRPr="0060640F" w:rsidRDefault="0060640F" w:rsidP="0060640F">
      <w:pPr>
        <w:shd w:val="clear" w:color="auto" w:fill="FFFFFF"/>
        <w:spacing w:after="120" w:line="276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D0718" w:rsidRPr="0070571F" w:rsidRDefault="00FD0718" w:rsidP="006D1E31">
      <w:pPr>
        <w:shd w:val="clear" w:color="auto" w:fill="FFFFFF"/>
        <w:spacing w:after="120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2.4. Разпределение на правомощия и проверки на изпълнителните действия по време на извънредния режим</w:t>
      </w:r>
    </w:p>
    <w:p w:rsidR="00FD0718" w:rsidRPr="0070571F" w:rsidRDefault="005D562F" w:rsidP="006D1E31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Органите на изпълнителната власт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трябва да могат да действат бързо и ефективно. Това може да изисква приемането на по-прости процедури за вземане на решения и </w:t>
      </w:r>
      <w:r w:rsidR="00C74A99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улесняване 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на някои проверки и баланси. Това може също да включва, доколкото е разрешено от конституцията, заобикаляне стандартното разделение на компетенциите между местните, регионалните и централните власти </w:t>
      </w:r>
      <w:r w:rsidR="00C74A99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по отношение на 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="00C74A99" w:rsidRPr="0070571F">
        <w:rPr>
          <w:rStyle w:val="Normal"/>
          <w:rFonts w:ascii="Calibri" w:hAnsi="Calibri" w:cs="Calibri"/>
          <w:color w:val="000000"/>
          <w:sz w:val="24"/>
          <w:szCs w:val="24"/>
        </w:rPr>
        <w:t>някои определени специфични и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ограничени области, за да се осигури по-координиран отговор на кризата</w:t>
      </w:r>
      <w:r w:rsidR="00C74A99" w:rsidRPr="0070571F">
        <w:rPr>
          <w:rStyle w:val="Normal"/>
          <w:rFonts w:ascii="Calibri" w:hAnsi="Calibri" w:cs="Calibri"/>
          <w:color w:val="000000"/>
          <w:sz w:val="24"/>
          <w:szCs w:val="24"/>
        </w:rPr>
        <w:t>,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и с разбиране, че </w:t>
      </w:r>
      <w:r w:rsidR="00C74A99" w:rsidRPr="0070571F">
        <w:rPr>
          <w:rStyle w:val="Normal"/>
          <w:rFonts w:ascii="Calibri" w:hAnsi="Calibri" w:cs="Calibri"/>
          <w:color w:val="000000"/>
          <w:sz w:val="24"/>
          <w:szCs w:val="24"/>
        </w:rPr>
        <w:t>правомощията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на местните и регионалните власти ще бъдат възстановени веднага щом ситуацията го позволи.</w:t>
      </w:r>
    </w:p>
    <w:p w:rsidR="00FD0718" w:rsidRPr="0070571F" w:rsidRDefault="00FD0718" w:rsidP="006D1E31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sz w:val="24"/>
          <w:szCs w:val="24"/>
        </w:rPr>
        <w:t>Парламентите обаче трябва да запазят правомощията си да контролират действия</w:t>
      </w:r>
      <w:r w:rsidR="00C74A99" w:rsidRPr="0070571F">
        <w:rPr>
          <w:rStyle w:val="Normal"/>
          <w:rFonts w:ascii="Calibri" w:hAnsi="Calibri" w:cs="Calibri"/>
          <w:sz w:val="24"/>
          <w:szCs w:val="24"/>
        </w:rPr>
        <w:t>та на изпълнителната власт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14"/>
      </w:r>
      <w:r w:rsidR="006D1E31" w:rsidRPr="0070571F">
        <w:rPr>
          <w:rStyle w:val="Normal"/>
          <w:rFonts w:ascii="Calibri" w:hAnsi="Calibri" w:cs="Calibri"/>
          <w:sz w:val="24"/>
          <w:szCs w:val="24"/>
        </w:rPr>
        <w:t>,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по-специално като проверяват на разумни интервали дали извънредните правомощия на изпълнителната власт все още са оправдани или чрез специална </w:t>
      </w:r>
      <w:r w:rsidRPr="0070571F">
        <w:rPr>
          <w:rStyle w:val="Normal"/>
          <w:rFonts w:ascii="Calibri" w:hAnsi="Calibri" w:cs="Calibri"/>
          <w:i/>
          <w:color w:val="000000"/>
          <w:sz w:val="24"/>
          <w:szCs w:val="24"/>
        </w:rPr>
        <w:t xml:space="preserve">(ad hoc)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намеса да изменят или отменят решенията на изпълнителната власт.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15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Разпускането на парламентите по време на извънредн</w:t>
      </w:r>
      <w:r w:rsidR="00C74A99" w:rsidRPr="0070571F">
        <w:rPr>
          <w:rStyle w:val="Normal"/>
          <w:rFonts w:ascii="Calibri" w:hAnsi="Calibri" w:cs="Calibri"/>
          <w:color w:val="000000"/>
          <w:sz w:val="24"/>
          <w:szCs w:val="24"/>
        </w:rPr>
        <w:t>о положение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не трябва да е възможно като в</w:t>
      </w:r>
      <w:r w:rsidR="00713D8A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същност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при много конституции мандатът на парламента се удължава до края на извънредното положение.</w:t>
      </w:r>
    </w:p>
    <w:p w:rsidR="00FD0718" w:rsidRPr="0070571F" w:rsidRDefault="00C74A99" w:rsidP="006D1E31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Най-съществената 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функция на съдебната система - по-специално, на конституционните съдилища, където те съществуват </w:t>
      </w:r>
      <w:r w:rsidR="00713D8A" w:rsidRPr="0070571F">
        <w:rPr>
          <w:rStyle w:val="Normal"/>
          <w:rFonts w:ascii="Calibri" w:hAnsi="Calibri" w:cs="Calibri"/>
          <w:color w:val="000000"/>
          <w:sz w:val="24"/>
          <w:szCs w:val="24"/>
        </w:rPr>
        <w:t>–</w:t>
      </w:r>
      <w:r w:rsidR="00FD071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трябва да се запази. Важно е съдиите да проучат най-сериозните ограничения на правата на човека, въведени от законодателството за извънредни ситуации. </w:t>
      </w:r>
      <w:r w:rsidR="00FD0718" w:rsidRPr="0070571F">
        <w:rPr>
          <w:rStyle w:val="Normal"/>
          <w:rFonts w:ascii="Calibri" w:hAnsi="Calibri" w:cs="Calibri"/>
          <w:sz w:val="24"/>
          <w:szCs w:val="24"/>
        </w:rPr>
        <w:t xml:space="preserve">Може да се разрешат </w:t>
      </w:r>
      <w:r w:rsidR="0044332F" w:rsidRPr="0070571F">
        <w:rPr>
          <w:rStyle w:val="Normal"/>
          <w:rFonts w:ascii="Calibri" w:hAnsi="Calibri" w:cs="Calibri"/>
          <w:sz w:val="24"/>
          <w:szCs w:val="24"/>
        </w:rPr>
        <w:t>отлагания</w:t>
      </w:r>
      <w:r w:rsidR="00FD0718" w:rsidRPr="0070571F">
        <w:rPr>
          <w:rStyle w:val="Normal"/>
          <w:rFonts w:ascii="Calibri" w:hAnsi="Calibri" w:cs="Calibri"/>
          <w:sz w:val="24"/>
          <w:szCs w:val="24"/>
        </w:rPr>
        <w:t xml:space="preserve">, </w:t>
      </w:r>
      <w:r w:rsidR="00E64E14" w:rsidRPr="0070571F">
        <w:rPr>
          <w:rStyle w:val="Normal"/>
          <w:rFonts w:ascii="Calibri" w:hAnsi="Calibri" w:cs="Calibri"/>
          <w:sz w:val="24"/>
          <w:szCs w:val="24"/>
        </w:rPr>
        <w:t xml:space="preserve">бързи производства </w:t>
      </w:r>
      <w:r w:rsidR="00FD0718" w:rsidRPr="0070571F">
        <w:rPr>
          <w:rStyle w:val="Normal"/>
          <w:rFonts w:ascii="Calibri" w:hAnsi="Calibri" w:cs="Calibri"/>
          <w:sz w:val="24"/>
          <w:szCs w:val="24"/>
        </w:rPr>
        <w:t>или групово третиране на определени категории дела, а предварителното съдебно разрешение в някои случаи може да бъде заменено с последващ (</w:t>
      </w:r>
      <w:r w:rsidR="00FD0718" w:rsidRPr="0070571F">
        <w:rPr>
          <w:rStyle w:val="Normal"/>
          <w:rFonts w:ascii="Calibri" w:hAnsi="Calibri" w:cs="Calibri"/>
          <w:i/>
          <w:sz w:val="24"/>
          <w:szCs w:val="24"/>
        </w:rPr>
        <w:t>ex post</w:t>
      </w:r>
      <w:r w:rsidR="00FD0718" w:rsidRPr="0070571F">
        <w:rPr>
          <w:rStyle w:val="Normal"/>
          <w:rFonts w:ascii="Calibri" w:hAnsi="Calibri" w:cs="Calibri"/>
          <w:sz w:val="24"/>
          <w:szCs w:val="24"/>
        </w:rPr>
        <w:t>) съдебен контрол (виж също по-долу, глава 3.2).</w:t>
      </w:r>
    </w:p>
    <w:p w:rsidR="00FD0718" w:rsidRPr="0070571F" w:rsidRDefault="00FD0718" w:rsidP="006D1E31">
      <w:pPr>
        <w:shd w:val="clear" w:color="auto" w:fill="FFFFFF"/>
        <w:spacing w:after="100" w:afterAutospacing="1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По време на извънредното положение провеждането на избори и референдуми може да бъде проблематично, тъй като възможността за провеждане на кампании е изключително ограничена във времена на криза.</w:t>
      </w:r>
    </w:p>
    <w:p w:rsidR="00FD0718" w:rsidRPr="0070571F" w:rsidRDefault="00FD0718" w:rsidP="00713D8A">
      <w:pPr>
        <w:shd w:val="clear" w:color="auto" w:fill="FFFFFF"/>
        <w:spacing w:after="100" w:afterAutospacing="1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color w:val="000000"/>
          <w:sz w:val="24"/>
          <w:szCs w:val="24"/>
        </w:rPr>
        <w:t xml:space="preserve">3. </w:t>
      </w:r>
      <w:r w:rsidR="00696152" w:rsidRPr="0070571F">
        <w:rPr>
          <w:rStyle w:val="Normal"/>
          <w:rFonts w:ascii="Calibri" w:hAnsi="Calibri" w:cs="Calibri"/>
          <w:b/>
          <w:color w:val="000000"/>
          <w:sz w:val="24"/>
          <w:szCs w:val="24"/>
        </w:rPr>
        <w:t xml:space="preserve">Относими </w:t>
      </w:r>
      <w:r w:rsidRPr="0070571F">
        <w:rPr>
          <w:rStyle w:val="Normal"/>
          <w:rFonts w:ascii="Calibri" w:hAnsi="Calibri" w:cs="Calibri"/>
          <w:b/>
          <w:color w:val="000000"/>
          <w:sz w:val="24"/>
          <w:szCs w:val="24"/>
        </w:rPr>
        <w:t>пра</w:t>
      </w:r>
      <w:r w:rsidR="00696152" w:rsidRPr="0070571F">
        <w:rPr>
          <w:rStyle w:val="Normal"/>
          <w:rFonts w:ascii="Calibri" w:hAnsi="Calibri" w:cs="Calibri"/>
          <w:b/>
          <w:color w:val="000000"/>
          <w:sz w:val="24"/>
          <w:szCs w:val="24"/>
        </w:rPr>
        <w:t xml:space="preserve">возащитни стандарти </w:t>
      </w:r>
    </w:p>
    <w:p w:rsidR="00FD0718" w:rsidRPr="0070571F" w:rsidRDefault="00FD0718" w:rsidP="00713D8A">
      <w:pPr>
        <w:shd w:val="clear" w:color="auto" w:fill="FFFFFF"/>
        <w:spacing w:after="100" w:afterAutospacing="1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3.1. Право на живот (член 2 от Конвенцията) и забр</w:t>
      </w:r>
      <w:r w:rsidR="00713D8A"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 xml:space="preserve">ана на изтезания и нечовешко </w:t>
      </w: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или унизително отношение или наказание (член 3 от Конвенцията); право на достъп до здравни грижи (член 11 от ревизираната Европейска социална харта)</w:t>
      </w:r>
    </w:p>
    <w:p w:rsidR="00FD0718" w:rsidRPr="0070571F" w:rsidRDefault="00FD0718" w:rsidP="00713D8A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 w:rsidRPr="0070571F">
        <w:rPr>
          <w:rStyle w:val="Normal"/>
          <w:rFonts w:ascii="Calibri" w:hAnsi="Calibri" w:cs="Calibri"/>
          <w:sz w:val="24"/>
          <w:szCs w:val="24"/>
        </w:rPr>
        <w:t>Правото на живот и забраната на изтезания и нечовешко или унизително отношение или наказание спадат към основните права, съгласно Конвенцията, тъй като те не могат да бъдат обект на дерогация дори в извънредни ситуации като тази с COVID-19.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Те последователно изискват по</w:t>
      </w:r>
      <w:r w:rsidR="00696152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зитивни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задължения за защита на хората</w:t>
      </w:r>
      <w:r w:rsidR="00713D8A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, </w:t>
      </w:r>
      <w:r w:rsidR="00696152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поставени </w:t>
      </w:r>
      <w:r w:rsidR="00713D8A" w:rsidRPr="0070571F">
        <w:rPr>
          <w:rStyle w:val="Normal"/>
          <w:rFonts w:ascii="Calibri" w:hAnsi="Calibri" w:cs="Calibri"/>
          <w:color w:val="000000"/>
          <w:sz w:val="24"/>
          <w:szCs w:val="24"/>
        </w:rPr>
        <w:t>под опеката на държавата,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срещу смъртоносни заболявания и произтичащите от тях страдания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16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</w:t>
      </w:r>
    </w:p>
    <w:p w:rsidR="00FD0718" w:rsidRPr="0070571F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FD0718" w:rsidRPr="0070571F" w:rsidRDefault="00FD0718" w:rsidP="00713D8A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Конвенцията непрекъснато изисква от всяка държава</w:t>
      </w:r>
      <w:r w:rsidR="00696152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членка да осигурява адекватно ниво на медицинска помощ за хората, лишени от свобода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17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. </w:t>
      </w:r>
      <w:r w:rsidRPr="0070571F">
        <w:rPr>
          <w:rStyle w:val="Normal"/>
          <w:rFonts w:ascii="Calibri" w:hAnsi="Calibri" w:cs="Calibri"/>
          <w:sz w:val="24"/>
          <w:szCs w:val="24"/>
        </w:rPr>
        <w:t>Европейският комитет за предотвратяване на изтезанията (</w:t>
      </w:r>
      <w:r w:rsidR="001C7A7F" w:rsidRPr="0070571F">
        <w:rPr>
          <w:rStyle w:val="Normal"/>
          <w:rFonts w:ascii="Calibri" w:hAnsi="Calibri" w:cs="Calibri"/>
          <w:sz w:val="24"/>
          <w:szCs w:val="24"/>
        </w:rPr>
        <w:t>КПИ</w:t>
      </w:r>
      <w:r w:rsidRPr="0070571F">
        <w:rPr>
          <w:rStyle w:val="Normal"/>
          <w:rFonts w:ascii="Calibri" w:hAnsi="Calibri" w:cs="Calibri"/>
          <w:sz w:val="24"/>
          <w:szCs w:val="24"/>
        </w:rPr>
        <w:t>) издаде</w:t>
      </w:r>
      <w:hyperlink r:id="rId9" w:history="1">
        <w:r w:rsidRPr="0070571F">
          <w:rPr>
            <w:rStyle w:val="Normal"/>
            <w:rFonts w:ascii="Calibri" w:hAnsi="Calibri" w:cs="Calibri"/>
            <w:color w:val="0066CC"/>
            <w:sz w:val="24"/>
            <w:szCs w:val="24"/>
            <w:u w:val="single"/>
          </w:rPr>
          <w:t xml:space="preserve"> Изложение на принципите, свързани с третирането на лиш</w:t>
        </w:r>
        <w:r w:rsidR="001C7A7F" w:rsidRPr="0070571F">
          <w:rPr>
            <w:rStyle w:val="Normal"/>
            <w:rFonts w:ascii="Calibri" w:hAnsi="Calibri" w:cs="Calibri"/>
            <w:color w:val="0066CC"/>
            <w:sz w:val="24"/>
            <w:szCs w:val="24"/>
            <w:u w:val="single"/>
          </w:rPr>
          <w:t>е</w:t>
        </w:r>
        <w:r w:rsidRPr="0070571F">
          <w:rPr>
            <w:rStyle w:val="Normal"/>
            <w:rFonts w:ascii="Calibri" w:hAnsi="Calibri" w:cs="Calibri"/>
            <w:color w:val="0066CC"/>
            <w:sz w:val="24"/>
            <w:szCs w:val="24"/>
            <w:u w:val="single"/>
          </w:rPr>
          <w:t>ните от свобода в контекста на пандемията от COVID-19.</w:t>
        </w:r>
      </w:hyperlink>
      <w:r w:rsidR="001C7A7F" w:rsidRPr="0070571F">
        <w:rPr>
          <w:rStyle w:val="Normal"/>
          <w:rFonts w:ascii="Calibri" w:hAnsi="Calibri" w:cs="Calibri"/>
          <w:color w:val="0066CC"/>
          <w:sz w:val="24"/>
          <w:szCs w:val="24"/>
          <w:u w:val="single"/>
        </w:rPr>
        <w:t xml:space="preserve"> </w:t>
      </w:r>
      <w:r w:rsidRPr="0070571F">
        <w:rPr>
          <w:rStyle w:val="Normal"/>
          <w:rFonts w:ascii="Calibri" w:hAnsi="Calibri" w:cs="Calibri"/>
          <w:sz w:val="24"/>
          <w:szCs w:val="24"/>
        </w:rPr>
        <w:t>Те се прилагат на различни места, включително места за задържане от полицията, пенитенциарни институции, центрове за задържане на имиграци</w:t>
      </w:r>
      <w:r w:rsidR="001C7A7F" w:rsidRPr="0070571F">
        <w:rPr>
          <w:rStyle w:val="Normal"/>
          <w:rFonts w:ascii="Calibri" w:hAnsi="Calibri" w:cs="Calibri"/>
          <w:sz w:val="24"/>
          <w:szCs w:val="24"/>
        </w:rPr>
        <w:t>ята</w:t>
      </w:r>
      <w:r w:rsidRPr="0070571F">
        <w:rPr>
          <w:rStyle w:val="Normal"/>
          <w:rFonts w:ascii="Calibri" w:hAnsi="Calibri" w:cs="Calibri"/>
          <w:sz w:val="24"/>
          <w:szCs w:val="24"/>
        </w:rPr>
        <w:t xml:space="preserve">, психиатрични болници и домове за социални грижи, както и в различни новооткрити заведения или зони, където хората са поставени </w:t>
      </w:r>
      <w:r w:rsidR="001C7A7F" w:rsidRPr="0070571F">
        <w:rPr>
          <w:rStyle w:val="Normal"/>
          <w:rFonts w:ascii="Calibri" w:hAnsi="Calibri" w:cs="Calibri"/>
          <w:sz w:val="24"/>
          <w:szCs w:val="24"/>
        </w:rPr>
        <w:t>под</w:t>
      </w:r>
      <w:r w:rsidRPr="0070571F">
        <w:rPr>
          <w:rStyle w:val="Normal"/>
          <w:rFonts w:ascii="Calibri" w:hAnsi="Calibri" w:cs="Calibri"/>
          <w:sz w:val="24"/>
          <w:szCs w:val="24"/>
        </w:rPr>
        <w:t xml:space="preserve"> карантина в</w:t>
      </w:r>
      <w:r w:rsidR="00696152" w:rsidRPr="0070571F">
        <w:rPr>
          <w:rStyle w:val="Normal"/>
          <w:rFonts w:ascii="Calibri" w:hAnsi="Calibri" w:cs="Calibri"/>
          <w:sz w:val="24"/>
          <w:szCs w:val="24"/>
        </w:rPr>
        <w:t>ъв връзка с С</w:t>
      </w:r>
      <w:r w:rsidRPr="0070571F">
        <w:rPr>
          <w:rStyle w:val="Normal"/>
          <w:rFonts w:ascii="Calibri" w:hAnsi="Calibri" w:cs="Calibri"/>
          <w:sz w:val="24"/>
          <w:szCs w:val="24"/>
        </w:rPr>
        <w:t>OVID-19 пандемията.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Принципите на </w:t>
      </w:r>
      <w:r w:rsidR="001C7A7F" w:rsidRPr="0070571F">
        <w:rPr>
          <w:rStyle w:val="Normal"/>
          <w:rFonts w:ascii="Calibri" w:hAnsi="Calibri" w:cs="Calibri"/>
          <w:color w:val="000000"/>
          <w:sz w:val="24"/>
          <w:szCs w:val="24"/>
        </w:rPr>
        <w:t>КПИ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се позовават и на необходимостта от защита на персонала, работещ в тези институции, и за осигуряване на непрекъснат достъп на националните независими органи за наблюдение до местата за задържане. </w:t>
      </w:r>
      <w:r w:rsidRPr="0070571F">
        <w:rPr>
          <w:rStyle w:val="Normal"/>
          <w:rFonts w:ascii="Calibri" w:hAnsi="Calibri" w:cs="Calibri"/>
          <w:sz w:val="24"/>
          <w:szCs w:val="24"/>
        </w:rPr>
        <w:t>Комисарят по правата на човека публикува и</w:t>
      </w:r>
      <w:r w:rsidR="001C7A7F" w:rsidRPr="0070571F">
        <w:rPr>
          <w:rStyle w:val="Normal"/>
          <w:rFonts w:ascii="Calibri" w:hAnsi="Calibri" w:cs="Calibri"/>
          <w:sz w:val="24"/>
          <w:szCs w:val="24"/>
        </w:rPr>
        <w:t xml:space="preserve"> </w:t>
      </w:r>
      <w:hyperlink r:id="rId10" w:history="1">
        <w:r w:rsidRPr="0070571F">
          <w:rPr>
            <w:rStyle w:val="Normal"/>
            <w:rFonts w:ascii="Calibri" w:hAnsi="Calibri" w:cs="Calibri"/>
            <w:color w:val="0066CC"/>
            <w:sz w:val="24"/>
            <w:szCs w:val="24"/>
            <w:u w:val="single"/>
          </w:rPr>
          <w:t>Изявление:</w:t>
        </w:r>
      </w:hyperlink>
      <w:r w:rsidR="001C7A7F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Пандемията от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COVID-19: Необходими са спешни </w:t>
      </w:r>
      <w:r w:rsidR="001C7A7F" w:rsidRPr="0070571F">
        <w:rPr>
          <w:rStyle w:val="Normal"/>
          <w:rFonts w:ascii="Calibri" w:hAnsi="Calibri" w:cs="Calibri"/>
          <w:color w:val="000000"/>
          <w:sz w:val="24"/>
          <w:szCs w:val="24"/>
        </w:rPr>
        <w:t>мерки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за защита правата на затворниците в Европа.</w:t>
      </w:r>
    </w:p>
    <w:p w:rsidR="00FD0718" w:rsidRPr="0070571F" w:rsidRDefault="00FD0718" w:rsidP="00713D8A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sz w:val="24"/>
          <w:szCs w:val="24"/>
        </w:rPr>
        <w:t xml:space="preserve">Освен хората, които са </w:t>
      </w:r>
      <w:r w:rsidR="00696152" w:rsidRPr="0070571F">
        <w:rPr>
          <w:rStyle w:val="Normal"/>
          <w:rFonts w:ascii="Calibri" w:hAnsi="Calibri" w:cs="Calibri"/>
          <w:sz w:val="24"/>
          <w:szCs w:val="24"/>
        </w:rPr>
        <w:t>под държавна опека</w:t>
      </w:r>
      <w:r w:rsidRPr="0070571F">
        <w:rPr>
          <w:rStyle w:val="Normal"/>
          <w:rFonts w:ascii="Calibri" w:hAnsi="Calibri" w:cs="Calibri"/>
          <w:sz w:val="24"/>
          <w:szCs w:val="24"/>
        </w:rPr>
        <w:t>, отговорност по членове 2 и 3 от Конвенцията може да бъде потърсена по отношение на тежко болни пациенти, хора с увреждания или възрастни хора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(вижте </w:t>
      </w:r>
      <w:hyperlink r:id="rId11" w:history="1">
        <w:r w:rsidRPr="0070571F">
          <w:rPr>
            <w:rStyle w:val="Normal"/>
            <w:rFonts w:ascii="Calibri" w:hAnsi="Calibri" w:cs="Calibri"/>
            <w:color w:val="0066CC"/>
            <w:sz w:val="24"/>
            <w:szCs w:val="24"/>
            <w:u w:val="single"/>
          </w:rPr>
          <w:t>Препоръка CM/Rec(2014)2</w:t>
        </w:r>
      </w:hyperlink>
      <w:r w:rsidRPr="0070571F">
        <w:rPr>
          <w:rStyle w:val="Normal"/>
          <w:rFonts w:ascii="Calibri" w:hAnsi="Calibri" w:cs="Calibri"/>
          <w:color w:val="325498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sz w:val="24"/>
          <w:szCs w:val="24"/>
        </w:rPr>
        <w:t>относно насърчаването правата на възрастни лица и изявленията на комисаря по правата на човека относно хората с увреждания и възрастните хора по време на пандемията от COVID-19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18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). Излагането им на болестта и крайното ниво на страдание може да се окаже несъвместимо с по</w:t>
      </w:r>
      <w:r w:rsidR="00696152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зитивните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задължения на държавата за опазване на живота и </w:t>
      </w:r>
      <w:r w:rsidR="00696152" w:rsidRPr="0070571F">
        <w:rPr>
          <w:rStyle w:val="Normal"/>
          <w:rFonts w:ascii="Calibri" w:hAnsi="Calibri" w:cs="Calibri"/>
          <w:color w:val="000000"/>
          <w:sz w:val="24"/>
          <w:szCs w:val="24"/>
        </w:rPr>
        <w:t>защитата от лошо отношение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 Това по</w:t>
      </w:r>
      <w:r w:rsidR="00696152" w:rsidRPr="0070571F">
        <w:rPr>
          <w:rStyle w:val="Normal"/>
          <w:rFonts w:ascii="Calibri" w:hAnsi="Calibri" w:cs="Calibri"/>
          <w:color w:val="000000"/>
          <w:sz w:val="24"/>
          <w:szCs w:val="24"/>
        </w:rPr>
        <w:t>зитивно з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адължение се потвърждава допълнително</w:t>
      </w:r>
      <w:r w:rsidR="00696152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в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член 11 от Европейската социална харта (преработен</w:t>
      </w:r>
      <w:r w:rsidR="00696152" w:rsidRPr="0070571F">
        <w:rPr>
          <w:rStyle w:val="Normal"/>
          <w:rFonts w:ascii="Calibri" w:hAnsi="Calibri" w:cs="Calibri"/>
          <w:color w:val="000000"/>
          <w:sz w:val="24"/>
          <w:szCs w:val="24"/>
        </w:rPr>
        <w:t>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), според който държавите трябва да демонстрират способността си да се справят с инфекциозните заболявания чрез механизми за докладване и уведомяване за болести и като вземат всички необходими извънредни мерки в случай на епидемии.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19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sz w:val="24"/>
          <w:szCs w:val="24"/>
        </w:rPr>
        <w:t>Повишеното внимание на държавите към уязвимите групи би било в съответствие с правото на хората на равен достъп до здравни грижи</w:t>
      </w:r>
      <w:r w:rsidR="00ED6B82" w:rsidRPr="0070571F">
        <w:rPr>
          <w:rStyle w:val="Normal"/>
          <w:rFonts w:ascii="Calibri" w:hAnsi="Calibri" w:cs="Calibri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(член 3 от</w:t>
      </w:r>
      <w:hyperlink r:id="rId12" w:history="1">
        <w:r w:rsidRPr="0070571F">
          <w:rPr>
            <w:rStyle w:val="Normal"/>
            <w:rFonts w:ascii="Calibri" w:hAnsi="Calibri" w:cs="Calibri"/>
            <w:color w:val="0066CC"/>
            <w:sz w:val="24"/>
            <w:szCs w:val="24"/>
            <w:u w:val="single"/>
          </w:rPr>
          <w:t xml:space="preserve"> Конвенцията за правата на човека и биомедицината,</w:t>
        </w:r>
      </w:hyperlink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  <w:cs/>
        </w:rPr>
        <w:t>„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Конвенцията </w:t>
      </w:r>
      <w:r w:rsidR="004E2C00" w:rsidRPr="0070571F">
        <w:rPr>
          <w:rStyle w:val="Normal"/>
          <w:rFonts w:ascii="Calibri" w:hAnsi="Calibri" w:cs="Calibri"/>
          <w:color w:val="000000"/>
          <w:sz w:val="24"/>
          <w:szCs w:val="24"/>
        </w:rPr>
        <w:t>от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Овиедо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  <w:cs/>
        </w:rPr>
        <w:t>”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).</w:t>
      </w:r>
    </w:p>
    <w:p w:rsidR="00FD0718" w:rsidRPr="0070571F" w:rsidRDefault="00FD0718" w:rsidP="00713D8A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161616"/>
          <w:sz w:val="24"/>
          <w:szCs w:val="24"/>
        </w:rPr>
        <w:t>В това отношение се припомня, че наличността и достъпът на пациентите до качествени лекарства е по-важна от всякога в контекста на настоящата пандемия от COVID-19. Конвенцията на Съвета на Европа за изработване на Европейска фармакопея</w:t>
      </w:r>
      <w:r w:rsidRPr="0070571F">
        <w:rPr>
          <w:rStyle w:val="FootnoteReference"/>
          <w:rFonts w:ascii="Calibri" w:hAnsi="Calibri" w:cs="Calibri"/>
          <w:color w:val="161616"/>
          <w:sz w:val="24"/>
          <w:szCs w:val="24"/>
        </w:rPr>
        <w:footnoteReference w:id="20"/>
      </w:r>
      <w:r w:rsidRPr="0070571F">
        <w:rPr>
          <w:rStyle w:val="Normal"/>
          <w:rFonts w:ascii="Calibri" w:hAnsi="Calibri" w:cs="Calibri"/>
          <w:color w:val="161616"/>
          <w:sz w:val="24"/>
          <w:szCs w:val="24"/>
        </w:rPr>
        <w:t xml:space="preserve"> има за цел да осигури правна и научна основа за гарантиране качеството на лекарствата и техните компоненти под формата на единен референтен труд </w:t>
      </w:r>
      <w:r w:rsidR="001C7A7F" w:rsidRPr="0070571F">
        <w:rPr>
          <w:rStyle w:val="Normal"/>
          <w:rFonts w:ascii="Calibri" w:hAnsi="Calibri" w:cs="Calibri"/>
          <w:color w:val="161616"/>
          <w:sz w:val="24"/>
          <w:szCs w:val="24"/>
        </w:rPr>
        <w:t>–</w:t>
      </w:r>
      <w:r w:rsidRPr="0070571F">
        <w:rPr>
          <w:rStyle w:val="Normal"/>
          <w:rFonts w:ascii="Calibri" w:hAnsi="Calibri" w:cs="Calibri"/>
          <w:color w:val="161616"/>
          <w:sz w:val="24"/>
          <w:szCs w:val="24"/>
        </w:rPr>
        <w:t xml:space="preserve"> Европейската фармакопея. Под ръководството на комисията по Европейската</w:t>
      </w:r>
      <w:r w:rsidR="00ED6B82" w:rsidRPr="0070571F">
        <w:rPr>
          <w:rStyle w:val="Normal"/>
          <w:rFonts w:ascii="Calibri" w:hAnsi="Calibri" w:cs="Calibri"/>
          <w:color w:val="161616"/>
          <w:sz w:val="24"/>
          <w:szCs w:val="24"/>
        </w:rPr>
        <w:t xml:space="preserve"> </w:t>
      </w:r>
      <w:r w:rsidR="004E2C00" w:rsidRPr="0070571F">
        <w:rPr>
          <w:rStyle w:val="Normal"/>
          <w:rFonts w:ascii="Calibri" w:hAnsi="Calibri" w:cs="Calibri"/>
          <w:color w:val="161616"/>
          <w:sz w:val="24"/>
          <w:szCs w:val="24"/>
        </w:rPr>
        <w:t xml:space="preserve">фармакопея, 39 държави </w:t>
      </w:r>
      <w:r w:rsidRPr="0070571F">
        <w:rPr>
          <w:rStyle w:val="Normal"/>
          <w:rFonts w:ascii="Calibri" w:hAnsi="Calibri" w:cs="Calibri"/>
          <w:color w:val="161616"/>
          <w:sz w:val="24"/>
          <w:szCs w:val="24"/>
        </w:rPr>
        <w:t>членки и Европейският съюз, заедно с експерти от 29 наблюдател</w:t>
      </w:r>
      <w:r w:rsidR="001C7A7F" w:rsidRPr="0070571F">
        <w:rPr>
          <w:rStyle w:val="Normal"/>
          <w:rFonts w:ascii="Calibri" w:hAnsi="Calibri" w:cs="Calibri"/>
          <w:color w:val="161616"/>
          <w:sz w:val="24"/>
          <w:szCs w:val="24"/>
        </w:rPr>
        <w:t>я</w:t>
      </w:r>
      <w:r w:rsidRPr="0070571F">
        <w:rPr>
          <w:rStyle w:val="Normal"/>
          <w:rFonts w:ascii="Calibri" w:hAnsi="Calibri" w:cs="Calibri"/>
          <w:color w:val="161616"/>
          <w:sz w:val="24"/>
          <w:szCs w:val="24"/>
        </w:rPr>
        <w:t>, включително Световната здравна организация, обединяват усилията си и споделят съвместни усилия за създаване на стандарти за качество, които са приложими във всички подписали се държави</w:t>
      </w:r>
      <w:r w:rsidR="004E2C00" w:rsidRPr="0070571F">
        <w:rPr>
          <w:rStyle w:val="Normal"/>
          <w:rFonts w:ascii="Calibri" w:hAnsi="Calibri" w:cs="Calibri"/>
          <w:color w:val="161616"/>
          <w:sz w:val="24"/>
          <w:szCs w:val="24"/>
        </w:rPr>
        <w:t>,</w:t>
      </w:r>
      <w:r w:rsidRPr="0070571F">
        <w:rPr>
          <w:rStyle w:val="Normal"/>
          <w:rFonts w:ascii="Calibri" w:hAnsi="Calibri" w:cs="Calibri"/>
          <w:color w:val="161616"/>
          <w:sz w:val="24"/>
          <w:szCs w:val="24"/>
        </w:rPr>
        <w:t xml:space="preserve"> и се прилагат в повече от 120 страни по света.</w:t>
      </w:r>
    </w:p>
    <w:p w:rsidR="00FD0718" w:rsidRPr="0070571F" w:rsidRDefault="00FD0718" w:rsidP="00713D8A">
      <w:pPr>
        <w:shd w:val="clear" w:color="auto" w:fill="FFFFFF"/>
        <w:spacing w:line="276" w:lineRule="auto"/>
        <w:ind w:firstLine="720"/>
        <w:jc w:val="both"/>
        <w:rPr>
          <w:rStyle w:val="Normal"/>
          <w:rFonts w:ascii="Calibri" w:hAnsi="Calibri" w:cs="Calibri"/>
          <w:color w:val="000000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И накрая, както според Конвенцията, така и според Европейската социална харта, държавите имат задължението да информират населението за известните рискове, свързани с пандемията, както и за поведението или мерките за избягване разпространението на болестта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21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</w:t>
      </w:r>
    </w:p>
    <w:p w:rsidR="00E64E14" w:rsidRPr="0070571F" w:rsidRDefault="00E64E14" w:rsidP="00713D8A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</w:p>
    <w:p w:rsidR="00FD0718" w:rsidRPr="0070571F" w:rsidRDefault="00FD0718" w:rsidP="00713D8A">
      <w:pPr>
        <w:shd w:val="clear" w:color="auto" w:fill="FFFFFF"/>
        <w:spacing w:before="120" w:after="120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3.2. Право на свобода и сигурност (чл</w:t>
      </w:r>
      <w:r w:rsidR="00713D8A"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 xml:space="preserve">. </w:t>
      </w: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5) и право на справедлив процес (чл</w:t>
      </w:r>
      <w:r w:rsidR="00713D8A"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.</w:t>
      </w: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 xml:space="preserve"> 6)</w:t>
      </w:r>
    </w:p>
    <w:p w:rsidR="00FD0718" w:rsidRPr="0070571F" w:rsidRDefault="00FD0718" w:rsidP="00713D8A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Безпрецедентните мерки, предприети в отговор на COVID-19, могат да повлияят на капацитета на държавата да гарантира правото на свобода и сигурност и да промени </w:t>
      </w:r>
      <w:r w:rsidR="00E64E14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обичайното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функциониране на съдебната система.</w:t>
      </w:r>
    </w:p>
    <w:p w:rsidR="00713D8A" w:rsidRPr="007173EE" w:rsidRDefault="00FD0718" w:rsidP="00ED6B82">
      <w:pPr>
        <w:shd w:val="clear" w:color="auto" w:fill="FFFFFF"/>
        <w:spacing w:line="276" w:lineRule="auto"/>
        <w:jc w:val="both"/>
        <w:rPr>
          <w:rStyle w:val="Normal"/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</w:p>
    <w:p w:rsidR="00FD0718" w:rsidRPr="0070571F" w:rsidRDefault="00FD0718" w:rsidP="00B942A0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Член 5.1 (</w:t>
      </w:r>
      <w:r w:rsidR="00E64E14" w:rsidRPr="0070571F">
        <w:rPr>
          <w:rStyle w:val="Normal"/>
          <w:rFonts w:ascii="Calibri" w:hAnsi="Calibri" w:cs="Calibri"/>
          <w:color w:val="000000"/>
          <w:sz w:val="24"/>
          <w:szCs w:val="24"/>
        </w:rPr>
        <w:t>е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) уточнява, че предотвратяване разпространението на инфекциозни заболявания е едно от основанията, поради които човек може да бъде лишен от свобода. Преди да се прибегне до такива мерки се очаква държавите да контролират съществуването на съответн</w:t>
      </w:r>
      <w:r w:rsidR="00E64E14" w:rsidRPr="0070571F">
        <w:rPr>
          <w:rStyle w:val="Normal"/>
          <w:rFonts w:ascii="Calibri" w:hAnsi="Calibri" w:cs="Calibri"/>
          <w:color w:val="000000"/>
          <w:sz w:val="24"/>
          <w:szCs w:val="24"/>
        </w:rPr>
        <w:t>ото правно основание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и да преценят дали мерките, водещи до лишаване от свобода, са строго необходими предвид други не толкова строги алтернативи. Продължителността на задължителното лишаване от свобода и начинът, по който то се налага, на практика са от значение в този контекст.</w:t>
      </w:r>
    </w:p>
    <w:p w:rsidR="00FD0718" w:rsidRPr="0070571F" w:rsidRDefault="00FD0718" w:rsidP="00B942A0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Мерките, които целят </w:t>
      </w:r>
      <w:r w:rsidR="00F5249B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да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адаптира</w:t>
      </w:r>
      <w:r w:rsidR="00F5249B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т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условията за достъп до съдилищата, следва да бъдат </w:t>
      </w:r>
      <w:r w:rsidR="00F5249B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разписани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по начин, съвместим с член 6, </w:t>
      </w:r>
      <w:r w:rsidR="00F5249B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най-малко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в случаите, ко</w:t>
      </w:r>
      <w:r w:rsidR="00F5249B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ито изискват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специално процедурно </w:t>
      </w:r>
      <w:r w:rsidR="00F5249B" w:rsidRPr="0070571F">
        <w:rPr>
          <w:rStyle w:val="Normal"/>
          <w:rFonts w:ascii="Calibri" w:hAnsi="Calibri" w:cs="Calibri"/>
          <w:color w:val="000000"/>
          <w:sz w:val="24"/>
          <w:szCs w:val="24"/>
        </w:rPr>
        <w:t>усърдие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(уязвими </w:t>
      </w:r>
      <w:r w:rsidR="00F5249B" w:rsidRPr="0070571F">
        <w:rPr>
          <w:rStyle w:val="Normal"/>
          <w:rFonts w:ascii="Calibri" w:hAnsi="Calibri" w:cs="Calibri"/>
          <w:color w:val="000000"/>
          <w:sz w:val="24"/>
          <w:szCs w:val="24"/>
        </w:rPr>
        <w:t>лица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, семейни и трудови спорове и т.н.). Продължителното полицейско задържане или </w:t>
      </w:r>
      <w:r w:rsidR="00F5249B" w:rsidRPr="0070571F">
        <w:rPr>
          <w:rStyle w:val="Normal"/>
          <w:rFonts w:ascii="Calibri" w:hAnsi="Calibri" w:cs="Calibri"/>
          <w:color w:val="000000"/>
          <w:sz w:val="24"/>
          <w:szCs w:val="24"/>
        </w:rPr>
        <w:t>забавен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съдебен контрол за лишаване от свобода може да доведе до нарушения на член 5 от Конвенцията.</w:t>
      </w:r>
    </w:p>
    <w:p w:rsidR="00FD0718" w:rsidRPr="0070571F" w:rsidRDefault="00FD0718" w:rsidP="00B942A0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Несъмнено дерогациите по член 15 могат да разширят обхвата на допустимите мерки съгласно членове 5 и 6 от Конвенцията и да разширят свободата на маневриране на държавните органи по отношение спазването на определени срокове и други обикновени процедурни изисквания. </w:t>
      </w:r>
      <w:r w:rsidR="00F5249B" w:rsidRPr="0070571F">
        <w:rPr>
          <w:rStyle w:val="Normal"/>
          <w:rFonts w:ascii="Calibri" w:hAnsi="Calibri" w:cs="Calibri"/>
          <w:color w:val="000000"/>
          <w:sz w:val="24"/>
          <w:szCs w:val="24"/>
        </w:rPr>
        <w:t>Въпреки това, п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ринципната забрана на задържането без правно основание или </w:t>
      </w:r>
      <w:r w:rsidR="00F5249B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своевременен съдебен контрол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и необходимостта да се осигурят на задържаните съществени процесуални гаранции, като например достъп до лекар, адвокат или близки, трябва по принцип да се </w:t>
      </w:r>
      <w:r w:rsidR="00F5249B" w:rsidRPr="0070571F">
        <w:rPr>
          <w:rStyle w:val="Normal"/>
          <w:rFonts w:ascii="Calibri" w:hAnsi="Calibri" w:cs="Calibri"/>
          <w:color w:val="000000"/>
          <w:sz w:val="24"/>
          <w:szCs w:val="24"/>
        </w:rPr>
        <w:t>съблюдават при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настоящите обстоятелства. Държавите също остават под общото задължение да гарантират, че съдебните процеси отговарят на основното изискване за справедливост (като равенство пред закона) и зачитат презумпцията за невинност и гарантират, че не се предприемат стъпки, които биха представлявали намеса в независимостта на съдиите или на съдилищата.</w:t>
      </w:r>
    </w:p>
    <w:p w:rsidR="00FD0718" w:rsidRPr="0070571F" w:rsidRDefault="00FD0718" w:rsidP="00B942A0">
      <w:pPr>
        <w:shd w:val="clear" w:color="auto" w:fill="FFFFFF"/>
        <w:spacing w:before="120" w:after="120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3.3. Право на личен живот, свобода на съвестта, свобода на изразяване, свобода на</w:t>
      </w:r>
      <w:r w:rsidR="00B942A0"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 xml:space="preserve">сдружаване </w:t>
      </w:r>
    </w:p>
    <w:p w:rsidR="00FD0718" w:rsidRPr="0070571F" w:rsidRDefault="00FD0718" w:rsidP="00B942A0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Ефективното използване на всички тези права и свободи, гарантирани от членове 8, 9, 10 и 11 от Конвенцията, е </w:t>
      </w:r>
      <w:r w:rsidR="00F5249B" w:rsidRPr="0070571F">
        <w:rPr>
          <w:rStyle w:val="Normal"/>
          <w:rFonts w:ascii="Calibri" w:hAnsi="Calibri" w:cs="Calibri"/>
          <w:color w:val="000000"/>
          <w:sz w:val="24"/>
          <w:szCs w:val="24"/>
        </w:rPr>
        <w:t>белег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="00B942A0" w:rsidRPr="0070571F">
        <w:rPr>
          <w:rStyle w:val="Normal"/>
          <w:rFonts w:ascii="Calibri" w:hAnsi="Calibri" w:cs="Calibri"/>
          <w:color w:val="000000"/>
          <w:sz w:val="24"/>
          <w:szCs w:val="24"/>
        </w:rPr>
        <w:t>н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а съвременните демократични общества. Ограниченията им са допустими, само ако са установени със закон и са пропорционални на </w:t>
      </w:r>
      <w:r w:rsidR="00F5249B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преследваната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легитимна цел, включително опазване на здравето. Значителните ограничения върху обичайните социални дейности, </w:t>
      </w:r>
      <w:r w:rsidR="0063462A" w:rsidRPr="0070571F">
        <w:rPr>
          <w:rStyle w:val="Normal"/>
          <w:rFonts w:ascii="Calibri" w:hAnsi="Calibri" w:cs="Calibri"/>
          <w:color w:val="000000"/>
          <w:sz w:val="24"/>
          <w:szCs w:val="24"/>
        </w:rPr>
        <w:t>като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достъпа до обществени места за </w:t>
      </w:r>
      <w:r w:rsidR="0063462A" w:rsidRPr="0070571F">
        <w:rPr>
          <w:rStyle w:val="Normal"/>
          <w:rFonts w:ascii="Calibri" w:hAnsi="Calibri" w:cs="Calibri"/>
          <w:color w:val="000000"/>
          <w:sz w:val="24"/>
          <w:szCs w:val="24"/>
        </w:rPr>
        <w:t>богослужения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, публичните събирания и сватбените и погребални церемонии, неминуемо могат да доведат до спорни оплаквания, съгласно горните разпоредби. Властите трябва да гарантират, че всяко такова ограничение, независимо дали се основава на дерогация или не, е ясно установено от закона </w:t>
      </w:r>
      <w:r w:rsidR="00B942A0" w:rsidRPr="0070571F">
        <w:rPr>
          <w:rStyle w:val="Normal"/>
          <w:rFonts w:ascii="Calibri" w:hAnsi="Calibri" w:cs="Calibri"/>
          <w:color w:val="000000"/>
          <w:sz w:val="24"/>
          <w:szCs w:val="24"/>
        </w:rPr>
        <w:t>спрямо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съответните конституционни гаранции и пропорционално на </w:t>
      </w:r>
      <w:r w:rsidR="00B942A0" w:rsidRPr="0070571F">
        <w:rPr>
          <w:rStyle w:val="Normal"/>
          <w:rFonts w:ascii="Calibri" w:hAnsi="Calibri" w:cs="Calibri"/>
          <w:color w:val="000000"/>
          <w:sz w:val="24"/>
          <w:szCs w:val="24"/>
        </w:rPr>
        <w:t>преследваната цел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22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</w:t>
      </w:r>
    </w:p>
    <w:p w:rsidR="00FD0718" w:rsidRPr="0070571F" w:rsidRDefault="00FD0718" w:rsidP="00B942A0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Докато засилените ограничения върху гореспоменатите права могат да бъдат напълно оправдани по време на криза, суровите наказателни санкции пораждат безпокойство и трябва да бъдат подложени на строг</w:t>
      </w:r>
      <w:r w:rsidR="0063462A" w:rsidRPr="0070571F">
        <w:rPr>
          <w:rStyle w:val="Normal"/>
          <w:rFonts w:ascii="Calibri" w:hAnsi="Calibri" w:cs="Calibri"/>
          <w:color w:val="000000"/>
          <w:sz w:val="24"/>
          <w:szCs w:val="24"/>
        </w:rPr>
        <w:t>а преценка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 Извънредн</w:t>
      </w:r>
      <w:r w:rsidR="0063462A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ата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ситуаци</w:t>
      </w:r>
      <w:r w:rsidR="0063462A" w:rsidRPr="0070571F">
        <w:rPr>
          <w:rStyle w:val="Normal"/>
          <w:rFonts w:ascii="Calibri" w:hAnsi="Calibri" w:cs="Calibri"/>
          <w:color w:val="000000"/>
          <w:sz w:val="24"/>
          <w:szCs w:val="24"/>
        </w:rPr>
        <w:t>я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не трябва да вод</w:t>
      </w:r>
      <w:r w:rsidR="0063462A" w:rsidRPr="0070571F">
        <w:rPr>
          <w:rStyle w:val="Normal"/>
          <w:rFonts w:ascii="Calibri" w:hAnsi="Calibri" w:cs="Calibri"/>
          <w:color w:val="000000"/>
          <w:sz w:val="24"/>
          <w:szCs w:val="24"/>
        </w:rPr>
        <w:t>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до </w:t>
      </w:r>
      <w:r w:rsidR="0063462A" w:rsidRPr="0070571F">
        <w:rPr>
          <w:rStyle w:val="Normal"/>
          <w:rFonts w:ascii="Calibri" w:hAnsi="Calibri" w:cs="Calibri"/>
          <w:color w:val="000000"/>
          <w:sz w:val="24"/>
          <w:szCs w:val="24"/>
        </w:rPr>
        <w:t>прекомерно използване на наказателноправни средства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 Справедливият баланс между принуда и превенция е най-подходящият, ако не и единственият начин да се спазва изискването за пропорционалност на Конвенцията.</w:t>
      </w:r>
    </w:p>
    <w:p w:rsidR="00FD0718" w:rsidRPr="0070571F" w:rsidRDefault="00FD0718" w:rsidP="00B942A0">
      <w:pPr>
        <w:shd w:val="clear" w:color="auto" w:fill="FFFFFF"/>
        <w:spacing w:before="120" w:after="120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Свобода на изразяване и информация, свобода на медиите, достъп до официална информация</w:t>
      </w:r>
    </w:p>
    <w:p w:rsidR="00FD0718" w:rsidRPr="0070571F" w:rsidRDefault="00FD0718" w:rsidP="00B942A0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Свободата на изразяване, включително свободният и навременен поток от информация, е критичен фактор за способността на медиите да разглеждат въпроси, свързани с пандемията. Медиите и професионалните журналисти, по-специално обществените радио- и телевизионни оператори, имат ключова роля и специална отговорност за предоставянето на навременна, точна и достоверна информация на обществото, </w:t>
      </w:r>
      <w:r w:rsidR="0063462A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а също така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и за предотвратяване на паниката и насърчаване на сътрудничеството между хората. Те трябва да се придържат към най-високите професионални и етични стандарти на отговорната журналистика и по този начин да предават авторитетни послания относно кризата и да се въздържат от публикуване или разпространение на непроверени истории, </w:t>
      </w:r>
      <w:r w:rsidR="002104D4" w:rsidRPr="0070571F">
        <w:rPr>
          <w:rStyle w:val="Normal"/>
          <w:rFonts w:ascii="Calibri" w:hAnsi="Calibri" w:cs="Calibri"/>
          <w:color w:val="000000"/>
          <w:sz w:val="24"/>
          <w:szCs w:val="24"/>
        </w:rPr>
        <w:t>особено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неправдоподобни или сензационни материали. </w:t>
      </w:r>
      <w:r w:rsidRPr="0070571F">
        <w:rPr>
          <w:rStyle w:val="Normal"/>
          <w:rFonts w:ascii="Calibri" w:hAnsi="Calibri" w:cs="Calibri"/>
          <w:sz w:val="24"/>
          <w:szCs w:val="24"/>
        </w:rPr>
        <w:t xml:space="preserve">Изключителните обстоятелства могат да принудят отговорните журналисти да се въздържат от разкриване на държавна информация, предназначена за ограничена публика </w:t>
      </w:r>
      <w:r w:rsidR="00B942A0" w:rsidRPr="0070571F">
        <w:rPr>
          <w:rStyle w:val="Normal"/>
          <w:rFonts w:ascii="Calibri" w:hAnsi="Calibri" w:cs="Calibri"/>
          <w:sz w:val="24"/>
          <w:szCs w:val="24"/>
        </w:rPr>
        <w:t>–</w:t>
      </w:r>
      <w:r w:rsidRPr="0070571F">
        <w:rPr>
          <w:rStyle w:val="Normal"/>
          <w:rFonts w:ascii="Calibri" w:hAnsi="Calibri" w:cs="Calibri"/>
          <w:sz w:val="24"/>
          <w:szCs w:val="24"/>
        </w:rPr>
        <w:t xml:space="preserve"> като</w:t>
      </w:r>
      <w:r w:rsidR="00B942A0" w:rsidRPr="0070571F">
        <w:rPr>
          <w:rStyle w:val="Normal"/>
          <w:rFonts w:ascii="Calibri" w:hAnsi="Calibri" w:cs="Calibri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sz w:val="24"/>
          <w:szCs w:val="24"/>
        </w:rPr>
        <w:t>например, информация за бъдещи мерки за прилагане на по-строга политика на изолация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23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</w:t>
      </w:r>
    </w:p>
    <w:p w:rsidR="00FD0718" w:rsidRPr="0070571F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D0718" w:rsidRPr="0070571F" w:rsidRDefault="00FD0718" w:rsidP="00757328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Достъпът на обществеността до официална информация трябва да се управлява въз основа на съществуващите принципи, установени в съдебната практика на Съда.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24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Всяко ограничение на достъпа до официална информация трябва да бъде изключително и пропорционално на целта за защита на общественото здраве. </w:t>
      </w:r>
      <w:hyperlink r:id="rId13" w:history="1">
        <w:r w:rsidRPr="0070571F">
          <w:rPr>
            <w:rStyle w:val="Normal"/>
            <w:rFonts w:ascii="Calibri" w:hAnsi="Calibri" w:cs="Calibri"/>
            <w:color w:val="0066CC"/>
            <w:sz w:val="24"/>
            <w:szCs w:val="24"/>
            <w:u w:val="single"/>
          </w:rPr>
          <w:t xml:space="preserve"> Конвенцията за достъп до официални документи </w:t>
        </w:r>
      </w:hyperlink>
      <w:r w:rsidRPr="0070571F">
        <w:rPr>
          <w:rStyle w:val="Normal"/>
          <w:rFonts w:ascii="Calibri" w:hAnsi="Calibri" w:cs="Calibri"/>
          <w:sz w:val="24"/>
          <w:szCs w:val="24"/>
        </w:rPr>
        <w:t>(</w:t>
      </w:r>
      <w:r w:rsidRPr="0070571F">
        <w:rPr>
          <w:rStyle w:val="Normal"/>
          <w:rFonts w:ascii="Calibri" w:hAnsi="Calibri" w:cs="Calibri"/>
          <w:sz w:val="24"/>
          <w:szCs w:val="24"/>
          <w:cs/>
        </w:rPr>
        <w:t>„</w:t>
      </w:r>
      <w:r w:rsidRPr="0070571F">
        <w:rPr>
          <w:rStyle w:val="Normal"/>
          <w:rFonts w:ascii="Calibri" w:hAnsi="Calibri" w:cs="Calibri"/>
          <w:sz w:val="24"/>
          <w:szCs w:val="24"/>
        </w:rPr>
        <w:t xml:space="preserve">Конвенцията </w:t>
      </w:r>
      <w:r w:rsidR="002104D4" w:rsidRPr="0070571F">
        <w:rPr>
          <w:rStyle w:val="Normal"/>
          <w:rFonts w:ascii="Calibri" w:hAnsi="Calibri" w:cs="Calibri"/>
          <w:sz w:val="24"/>
          <w:szCs w:val="24"/>
        </w:rPr>
        <w:t>от</w:t>
      </w:r>
      <w:r w:rsidRPr="0070571F">
        <w:rPr>
          <w:rStyle w:val="Normal"/>
          <w:rFonts w:ascii="Calibri" w:hAnsi="Calibri" w:cs="Calibri"/>
          <w:sz w:val="24"/>
          <w:szCs w:val="24"/>
        </w:rPr>
        <w:t xml:space="preserve"> Тромсе</w:t>
      </w:r>
      <w:r w:rsidRPr="0070571F">
        <w:rPr>
          <w:rStyle w:val="Normal"/>
          <w:rFonts w:ascii="Calibri" w:hAnsi="Calibri" w:cs="Calibri"/>
          <w:sz w:val="24"/>
          <w:szCs w:val="24"/>
          <w:cs/>
        </w:rPr>
        <w:t>“</w:t>
      </w:r>
      <w:r w:rsidRPr="0070571F">
        <w:rPr>
          <w:rStyle w:val="Normal"/>
          <w:rFonts w:ascii="Calibri" w:hAnsi="Calibri" w:cs="Calibri"/>
          <w:sz w:val="24"/>
          <w:szCs w:val="24"/>
        </w:rPr>
        <w:t xml:space="preserve">) подчертава необходимостта от прозрачност и предвижда, че по своя инициатива и когато е уместно, даден публичен орган </w:t>
      </w:r>
      <w:r w:rsidR="00757328" w:rsidRPr="0070571F">
        <w:rPr>
          <w:rStyle w:val="Normal"/>
          <w:rFonts w:ascii="Calibri" w:hAnsi="Calibri" w:cs="Calibri"/>
          <w:sz w:val="24"/>
          <w:szCs w:val="24"/>
        </w:rPr>
        <w:t xml:space="preserve">може </w:t>
      </w:r>
      <w:r w:rsidRPr="0070571F">
        <w:rPr>
          <w:rStyle w:val="Normal"/>
          <w:rFonts w:ascii="Calibri" w:hAnsi="Calibri" w:cs="Calibri"/>
          <w:sz w:val="24"/>
          <w:szCs w:val="24"/>
        </w:rPr>
        <w:t>да предприеме необходимите мерки за публикуване на официални документи за насърчаване информираното участие на обществото по въпроси от общ интерес.</w:t>
      </w:r>
    </w:p>
    <w:p w:rsidR="00FD0718" w:rsidRPr="0070571F" w:rsidRDefault="00FD0718" w:rsidP="00757328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В същото време официалните съобщения не могат да бъдат единственият информационен канал за пандемията. Това би довело до цензура и потискане на </w:t>
      </w:r>
      <w:r w:rsidR="002104D4" w:rsidRPr="0070571F">
        <w:rPr>
          <w:rStyle w:val="Normal"/>
          <w:rFonts w:ascii="Calibri" w:hAnsi="Calibri" w:cs="Calibri"/>
          <w:color w:val="000000"/>
          <w:sz w:val="24"/>
          <w:szCs w:val="24"/>
        </w:rPr>
        <w:t>основателни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опасения. Журналистите, медиите, медицинските специалисти, активистите на гражданското общество и обществеността като цяло трябва да могат да критикуват властите и да проучват внимателно отговора им на кризата. Всякакви предварителни ограничения на определени теми, затваряне на медийни издания или пряко блокиране на достъпа до онлайн комуникационните платформи изискват най-внимателен контрол и са оправдани само при изключителни обстоятелства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25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. </w:t>
      </w:r>
      <w:r w:rsidRPr="0070571F">
        <w:rPr>
          <w:rStyle w:val="Normal"/>
          <w:rFonts w:ascii="Calibri" w:hAnsi="Calibri" w:cs="Calibri"/>
          <w:sz w:val="24"/>
          <w:szCs w:val="24"/>
        </w:rPr>
        <w:t xml:space="preserve">Пандемията не трябва да се използва за заглушаване на сигнали за </w:t>
      </w:r>
      <w:r w:rsidR="00610210" w:rsidRPr="0070571F">
        <w:rPr>
          <w:rStyle w:val="Normal"/>
          <w:rFonts w:ascii="Calibri" w:hAnsi="Calibri" w:cs="Calibri"/>
          <w:sz w:val="24"/>
          <w:szCs w:val="24"/>
        </w:rPr>
        <w:t>нередности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(вижте </w:t>
      </w:r>
      <w:hyperlink r:id="rId14" w:history="1">
        <w:r w:rsidRPr="0070571F">
          <w:rPr>
            <w:rStyle w:val="Normal"/>
            <w:rFonts w:ascii="Calibri" w:hAnsi="Calibri" w:cs="Calibri"/>
            <w:color w:val="0066CC"/>
            <w:sz w:val="24"/>
            <w:szCs w:val="24"/>
            <w:u w:val="single"/>
          </w:rPr>
          <w:t>Препоръка CM/Rec(2014)7</w:t>
        </w:r>
      </w:hyperlink>
      <w:r w:rsidRPr="0070571F">
        <w:rPr>
          <w:rStyle w:val="Normal"/>
          <w:rFonts w:ascii="Calibri" w:hAnsi="Calibri" w:cs="Calibri"/>
          <w:color w:val="325498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относно защитата на лицата, подаващи сигнали за </w:t>
      </w:r>
      <w:r w:rsidR="002104D4" w:rsidRPr="0070571F">
        <w:rPr>
          <w:rStyle w:val="Normal"/>
          <w:rFonts w:ascii="Calibri" w:hAnsi="Calibri" w:cs="Calibri"/>
          <w:color w:val="000000"/>
          <w:sz w:val="24"/>
          <w:szCs w:val="24"/>
        </w:rPr>
        <w:t>нередности</w:t>
      </w:r>
      <w:r w:rsidR="00610210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="00610210" w:rsidRPr="007173EE">
        <w:rPr>
          <w:rStyle w:val="Normal"/>
          <w:rFonts w:ascii="Calibri" w:hAnsi="Calibri" w:cs="Calibri"/>
          <w:color w:val="000000"/>
          <w:sz w:val="24"/>
          <w:szCs w:val="24"/>
        </w:rPr>
        <w:t>(“</w:t>
      </w:r>
      <w:r w:rsidR="00610210" w:rsidRPr="0070571F">
        <w:rPr>
          <w:rStyle w:val="Normal"/>
          <w:rFonts w:ascii="Calibri" w:hAnsi="Calibri" w:cs="Calibri"/>
          <w:color w:val="000000"/>
          <w:sz w:val="24"/>
          <w:szCs w:val="24"/>
          <w:lang w:val="en-US"/>
        </w:rPr>
        <w:t>whistle</w:t>
      </w:r>
      <w:r w:rsidR="00610210" w:rsidRPr="007173EE">
        <w:rPr>
          <w:rStyle w:val="Normal"/>
          <w:rFonts w:ascii="Calibri" w:hAnsi="Calibri" w:cs="Calibri"/>
          <w:color w:val="000000"/>
          <w:sz w:val="24"/>
          <w:szCs w:val="24"/>
        </w:rPr>
        <w:t>-</w:t>
      </w:r>
      <w:r w:rsidR="00610210" w:rsidRPr="0070571F">
        <w:rPr>
          <w:rStyle w:val="Normal"/>
          <w:rFonts w:ascii="Calibri" w:hAnsi="Calibri" w:cs="Calibri"/>
          <w:color w:val="000000"/>
          <w:sz w:val="24"/>
          <w:szCs w:val="24"/>
          <w:lang w:val="en-US"/>
        </w:rPr>
        <w:t>blowers</w:t>
      </w:r>
      <w:r w:rsidR="00610210" w:rsidRPr="007173EE">
        <w:rPr>
          <w:rStyle w:val="Normal"/>
          <w:rFonts w:ascii="Calibri" w:hAnsi="Calibri" w:cs="Calibri"/>
          <w:color w:val="000000"/>
          <w:sz w:val="24"/>
          <w:szCs w:val="24"/>
        </w:rPr>
        <w:t>”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),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26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или политически опоненти.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27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sz w:val="24"/>
          <w:szCs w:val="24"/>
        </w:rPr>
        <w:t>Зловредното разпространение на дезинформация може да се предотврати с последващи санкции и с правителствени информационни кампании.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Държавите трябва да работят съвместно с онлайн платформи и медии, за да предотвратят манипулирането на общественото мнение, както и да изтъкват повече общоизвестните надеждни източници на новини и информация, по-специално тези, съобщени от органите на общественото здравеопазване.</w:t>
      </w:r>
    </w:p>
    <w:p w:rsidR="00FD0718" w:rsidRPr="0070571F" w:rsidRDefault="00FD0718" w:rsidP="00757328">
      <w:pPr>
        <w:shd w:val="clear" w:color="auto" w:fill="FFFFFF"/>
        <w:spacing w:before="120" w:after="120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Поверителност и защита на данните</w:t>
      </w:r>
    </w:p>
    <w:p w:rsidR="00FD0718" w:rsidRPr="0070571F" w:rsidRDefault="00FD0718" w:rsidP="00757328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Новите технологии за достъп до </w:t>
      </w:r>
      <w:r w:rsidR="00757328" w:rsidRPr="0070571F">
        <w:rPr>
          <w:rStyle w:val="Normal"/>
          <w:rFonts w:ascii="Calibri" w:hAnsi="Calibri" w:cs="Calibri"/>
          <w:color w:val="000000"/>
          <w:sz w:val="24"/>
          <w:szCs w:val="24"/>
        </w:rPr>
        <w:t>–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и обработка на </w:t>
      </w:r>
      <w:r w:rsidR="00757328" w:rsidRPr="0070571F">
        <w:rPr>
          <w:rStyle w:val="Normal"/>
          <w:rFonts w:ascii="Calibri" w:hAnsi="Calibri" w:cs="Calibri"/>
          <w:color w:val="000000"/>
          <w:sz w:val="24"/>
          <w:szCs w:val="24"/>
        </w:rPr>
        <w:t>–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лични данни имат потенциала да задържат и отстранят пандемията. Мониторингът, проследяването и предвиждането са ключови стъпки за наблюдение на епи</w:t>
      </w:r>
      <w:r w:rsidR="00610210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демията. С увеличаването и свръх предлагането на достъпни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сложни цифрови технологии и инструменти (данни за геолокация, изкуствен интелект, разпознаване на лица, приложения в социалните медии) подобно наблюдение може да бъде улеснено</w:t>
      </w:r>
      <w:r w:rsidR="0075732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в условията на пандемия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</w:t>
      </w:r>
    </w:p>
    <w:p w:rsidR="00FD0718" w:rsidRPr="0070571F" w:rsidRDefault="00FD0718" w:rsidP="00757328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В същото време</w:t>
      </w:r>
      <w:r w:rsidR="005465CE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инвазивният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потенциал на съвременните технологии не трябва да се оставя без</w:t>
      </w:r>
      <w:r w:rsidR="0075732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контролен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и </w:t>
      </w:r>
      <w:r w:rsidR="00610210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без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баланс спрямо необходимостта от уважение </w:t>
      </w:r>
      <w:r w:rsidR="0075732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на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личния живот. Принципите за защита на данните и Конвенция 108 на Съвета на Европа (и нейната модернизирана версия, наречена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  <w:cs/>
        </w:rPr>
        <w:t>„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Конвенция 108+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  <w:cs/>
        </w:rPr>
        <w:t>“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28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) винаги са позволявали баланс на високи</w:t>
      </w:r>
      <w:r w:rsidR="00610210" w:rsidRPr="0070571F">
        <w:rPr>
          <w:rStyle w:val="Normal"/>
          <w:rFonts w:ascii="Calibri" w:hAnsi="Calibri" w:cs="Calibri"/>
          <w:color w:val="000000"/>
          <w:sz w:val="24"/>
          <w:szCs w:val="24"/>
        </w:rPr>
        <w:t>те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="00610210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правозащитни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стандарти и </w:t>
      </w:r>
      <w:r w:rsidR="00610210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на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обществени</w:t>
      </w:r>
      <w:r w:rsidR="00610210" w:rsidRPr="0070571F">
        <w:rPr>
          <w:rStyle w:val="Normal"/>
          <w:rFonts w:ascii="Calibri" w:hAnsi="Calibri" w:cs="Calibri"/>
          <w:color w:val="000000"/>
          <w:sz w:val="24"/>
          <w:szCs w:val="24"/>
        </w:rPr>
        <w:t>те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интереси, включително общественото здраве. Конвенцията позволява изключения от обикновените правила за защита на данните за ограничен период от време и с подходящите предпазни мерки (напр. анонимност) и ефективна рамка за надзор, за да се гарантира, че тези данни се събират, анализират, съхраняват и споделят по законен и отговорен начин. Мащабната обработка на личните данни с помощта на изкуствен интелект трябва да се извършва, само когато научните доказателства убедително показват, че потенциалните ползи за общественото здраве надделяват предимствата на алтернативните, по-малко </w:t>
      </w:r>
      <w:r w:rsidR="005465CE" w:rsidRPr="0070571F">
        <w:rPr>
          <w:rStyle w:val="Normal"/>
          <w:rFonts w:ascii="Calibri" w:hAnsi="Calibri" w:cs="Calibri"/>
          <w:color w:val="000000"/>
          <w:sz w:val="24"/>
          <w:szCs w:val="24"/>
        </w:rPr>
        <w:t>инвазивни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решения. Експертната мрежа на Съвета на Европа за изкуствен интелект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29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и нейните партньори могат да улеснят обмена на знания в това отношение.</w:t>
      </w:r>
    </w:p>
    <w:p w:rsidR="00FD0718" w:rsidRPr="0070571F" w:rsidRDefault="00FD0718" w:rsidP="00757328">
      <w:pPr>
        <w:shd w:val="clear" w:color="auto" w:fill="FFFFFF"/>
        <w:spacing w:before="120" w:after="120" w:line="276" w:lineRule="auto"/>
        <w:ind w:firstLine="720"/>
        <w:jc w:val="both"/>
        <w:rPr>
          <w:rFonts w:ascii="Calibri" w:hAnsi="Calibri" w:cs="Calibri"/>
          <w:b/>
          <w:i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 xml:space="preserve">3.4. Забрана на дискриминация (член 14 от Конвенцията и член 1, Протокол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  <w:cs/>
        </w:rPr>
        <w:t>№</w:t>
      </w: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  <w:cs/>
        </w:rPr>
        <w:t xml:space="preserve"> </w:t>
      </w: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12,</w:t>
      </w:r>
      <w:r w:rsidR="00757328" w:rsidRPr="0070571F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 xml:space="preserve">Член </w:t>
      </w:r>
      <w:r w:rsidR="005465CE"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>Е</w:t>
      </w:r>
      <w:r w:rsidRPr="0070571F">
        <w:rPr>
          <w:rStyle w:val="Normal"/>
          <w:rFonts w:ascii="Calibri" w:hAnsi="Calibri" w:cs="Calibri"/>
          <w:b/>
          <w:i/>
          <w:color w:val="000000"/>
          <w:sz w:val="24"/>
          <w:szCs w:val="24"/>
        </w:rPr>
        <w:t xml:space="preserve"> от Европейската социална харта) и стандарти, свързани с многообразието и приобщаването</w:t>
      </w:r>
    </w:p>
    <w:p w:rsidR="00FD0718" w:rsidRPr="0070571F" w:rsidRDefault="00FD0718" w:rsidP="00757328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Принципът </w:t>
      </w:r>
      <w:r w:rsidR="005465CE" w:rsidRPr="0070571F">
        <w:rPr>
          <w:rStyle w:val="Normal"/>
          <w:rFonts w:ascii="Calibri" w:hAnsi="Calibri" w:cs="Calibri"/>
          <w:color w:val="000000"/>
          <w:sz w:val="24"/>
          <w:szCs w:val="24"/>
        </w:rPr>
        <w:t>за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недискриминация е изключително актуален в настоящия контекст. Когато оценява дали мерките за дерогация са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  <w:cs/>
        </w:rPr>
        <w:t>„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строго </w:t>
      </w:r>
      <w:r w:rsidR="005465CE" w:rsidRPr="0070571F">
        <w:rPr>
          <w:rStyle w:val="Normal"/>
          <w:rFonts w:ascii="Calibri" w:hAnsi="Calibri" w:cs="Calibri"/>
          <w:color w:val="000000"/>
          <w:sz w:val="24"/>
          <w:szCs w:val="24"/>
        </w:rPr>
        <w:t>необходими“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, съгласно член 15 от Конвенцията, Съдът проверява дали мерките дискриминират неоправдано различните категории лица.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30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Също така, някои форми на дискриминация могат да доведат до унизително</w:t>
      </w:r>
      <w:r w:rsidR="005465CE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третиране, предвидено в член 3,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разпоредба</w:t>
      </w:r>
      <w:r w:rsidR="005465CE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която не може да бъде дерогирана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31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Освен това фактът, че не се вземат предвид специфичните нужди на хората от груп</w:t>
      </w:r>
      <w:r w:rsidR="00757328" w:rsidRPr="0070571F">
        <w:rPr>
          <w:rStyle w:val="Normal"/>
          <w:rFonts w:ascii="Calibri" w:hAnsi="Calibri" w:cs="Calibri"/>
          <w:color w:val="000000"/>
          <w:sz w:val="24"/>
          <w:szCs w:val="24"/>
        </w:rPr>
        <w:t>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в неравностойно положение, може да доведе до дискриминация.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32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Следователно забраната за дискриминация може да доведе до задължения за предприемане на по</w:t>
      </w:r>
      <w:r w:rsidR="005465CE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зитивни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мерки за постигане на съществено равенство.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33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Подобен подход </w:t>
      </w:r>
      <w:r w:rsidR="005465CE" w:rsidRPr="0070571F">
        <w:rPr>
          <w:rStyle w:val="Normal"/>
          <w:rFonts w:ascii="Calibri" w:hAnsi="Calibri" w:cs="Calibri"/>
          <w:color w:val="000000"/>
          <w:sz w:val="24"/>
          <w:szCs w:val="24"/>
          <w:lang w:val="en-US"/>
        </w:rPr>
        <w:t>e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в </w:t>
      </w:r>
      <w:r w:rsidR="00757328" w:rsidRPr="0070571F">
        <w:rPr>
          <w:rStyle w:val="Normal"/>
          <w:rFonts w:ascii="Calibri" w:hAnsi="Calibri" w:cs="Calibri"/>
          <w:color w:val="000000"/>
          <w:sz w:val="24"/>
          <w:szCs w:val="24"/>
        </w:rPr>
        <w:t>съответствие с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Европейската социална харта (член E).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34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В този смисъл много от разпоредбите на Рамковата конвенция за защита на националните малцинства, Европейската харта за регионални или малцинств</w:t>
      </w:r>
      <w:r w:rsidR="005465CE" w:rsidRPr="0070571F">
        <w:rPr>
          <w:rStyle w:val="Normal"/>
          <w:rFonts w:ascii="Calibri" w:hAnsi="Calibri" w:cs="Calibri"/>
          <w:color w:val="000000"/>
          <w:sz w:val="24"/>
          <w:szCs w:val="24"/>
        </w:rPr>
        <w:t>ени езици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, но също така и Общите препоръки на Е</w:t>
      </w:r>
      <w:r w:rsidR="005465CE" w:rsidRPr="0070571F">
        <w:rPr>
          <w:rStyle w:val="Normal"/>
          <w:rFonts w:ascii="Calibri" w:hAnsi="Calibri" w:cs="Calibri"/>
          <w:color w:val="000000"/>
          <w:sz w:val="24"/>
          <w:szCs w:val="24"/>
        </w:rPr>
        <w:t>вропейската комисия срещу расизма и нетолерантността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, трябва да се разглеждат като израз на принципите на равенство и недискриминация.</w:t>
      </w:r>
    </w:p>
    <w:p w:rsidR="00FD0718" w:rsidRPr="0070571F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D0718" w:rsidRPr="0070571F" w:rsidRDefault="00FD0718" w:rsidP="00757328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Изключителните мерки, предприе</w:t>
      </w:r>
      <w:r w:rsidR="00757328" w:rsidRPr="0070571F">
        <w:rPr>
          <w:rStyle w:val="Normal"/>
          <w:rFonts w:ascii="Calibri" w:hAnsi="Calibri" w:cs="Calibri"/>
          <w:color w:val="000000"/>
          <w:sz w:val="24"/>
          <w:szCs w:val="24"/>
        </w:rPr>
        <w:t>мани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днес в рамките на борбата срещу разпространението на вируса, вероятно ще поставят въпроси относно техните потенциални дискриминационни последици. Например правото на образование, заложено в Конвенцията (член 2 от Протокол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  <w:cs/>
        </w:rPr>
        <w:t>№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1) и Европейската социална харта (член 17), по принцип следва да бъде гарантирано, въпреки че начините, по които се гарантира, изискват адаптиране.</w:t>
      </w:r>
      <w:r w:rsidR="00ED6B82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Трябва да се обърне специално внимание, за да се гарантира, че членовете на уязвимите групи продължават да се възползват от правото на образование и да имат равен достъп до средства и материали за образование </w:t>
      </w:r>
      <w:r w:rsidR="0075732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по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време на изолация. Подготвя се подробно проучване на трудностите и рисковете, пред които са изправени ромите, мигрантите, лицата, принадлежащи към националните малцинства и ЛГБТИ</w:t>
      </w:r>
      <w:r w:rsidR="0070571F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обществото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, но и отличните специфични практики за приобщаване, които вече са приети по врем</w:t>
      </w:r>
      <w:r w:rsidR="0070571F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е на тази криза в някои държави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членки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35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.</w:t>
      </w:r>
    </w:p>
    <w:p w:rsidR="00FD0718" w:rsidRPr="0070571F" w:rsidRDefault="00FD0718" w:rsidP="00757328">
      <w:pPr>
        <w:shd w:val="clear" w:color="auto" w:fill="FFFFFF"/>
        <w:spacing w:before="120" w:after="120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color w:val="000000"/>
          <w:sz w:val="24"/>
          <w:szCs w:val="24"/>
        </w:rPr>
        <w:t xml:space="preserve">4. Защита от </w:t>
      </w:r>
      <w:r w:rsidR="00757328" w:rsidRPr="0070571F">
        <w:rPr>
          <w:rStyle w:val="Normal"/>
          <w:rFonts w:ascii="Calibri" w:hAnsi="Calibri" w:cs="Calibri"/>
          <w:b/>
          <w:color w:val="000000"/>
          <w:sz w:val="24"/>
          <w:szCs w:val="24"/>
        </w:rPr>
        <w:t>престъпления</w:t>
      </w:r>
      <w:r w:rsidRPr="0070571F">
        <w:rPr>
          <w:rStyle w:val="Normal"/>
          <w:rFonts w:ascii="Calibri" w:hAnsi="Calibri" w:cs="Calibri"/>
          <w:b/>
          <w:color w:val="000000"/>
          <w:sz w:val="24"/>
          <w:szCs w:val="24"/>
        </w:rPr>
        <w:t>; защита на жертвите на престъпления</w:t>
      </w:r>
    </w:p>
    <w:p w:rsidR="00FD0718" w:rsidRPr="0070571F" w:rsidRDefault="00FD0718" w:rsidP="00757328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Все по-често се съобщават инциденти и доказателства, показващи, че политиката на изолация и задържане води до повишени нива на домашно, сексуално и основано на пола насилие </w:t>
      </w:r>
      <w:r w:rsidR="007B6088" w:rsidRPr="0070571F">
        <w:rPr>
          <w:rStyle w:val="Normal"/>
          <w:rFonts w:ascii="Calibri" w:hAnsi="Calibri" w:cs="Calibri"/>
          <w:color w:val="000000"/>
          <w:sz w:val="24"/>
          <w:szCs w:val="24"/>
        </w:rPr>
        <w:t>–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и следователно до повишена нужда от защита срещу това. Подходът на онези държави</w:t>
      </w:r>
      <w:r w:rsidR="0070571F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членки, които в съответствие с духа на Истанбулската конвенция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36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, търсят начини да продължат да предоставят услуги, предлагащи подкрепа и защита на жертвите на такова насилие, адаптирани към режима на изолация, може само да бъде приветстван. Съветът на Европа може да разпространява информация за практиките, прилагани в неговите държави-членки, като например </w:t>
      </w:r>
      <w:r w:rsidR="007B6088" w:rsidRPr="0070571F">
        <w:rPr>
          <w:rStyle w:val="Normal"/>
          <w:rFonts w:ascii="Calibri" w:hAnsi="Calibri" w:cs="Calibri"/>
          <w:color w:val="000000"/>
          <w:sz w:val="24"/>
          <w:szCs w:val="24"/>
        </w:rPr>
        <w:t>за такива,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предоставя</w:t>
      </w:r>
      <w:r w:rsidR="007B6088" w:rsidRPr="0070571F">
        <w:rPr>
          <w:rStyle w:val="Normal"/>
          <w:rFonts w:ascii="Calibri" w:hAnsi="Calibri" w:cs="Calibri"/>
          <w:color w:val="000000"/>
          <w:sz w:val="24"/>
          <w:szCs w:val="24"/>
        </w:rPr>
        <w:t>щи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на жертвите алтернативни начини за съобщаване на инциденти, свързани с насилие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37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. Важно е също така да се обмислят иновативни средства, така че децата да имат достъп до линии </w:t>
      </w:r>
      <w:r w:rsidR="007B6088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за помощ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и горещи линии в светлината на раз</w:t>
      </w:r>
      <w:r w:rsidR="0070571F" w:rsidRPr="0070571F">
        <w:rPr>
          <w:rStyle w:val="Normal"/>
          <w:rFonts w:ascii="Calibri" w:hAnsi="Calibri" w:cs="Calibri"/>
          <w:color w:val="000000"/>
          <w:sz w:val="24"/>
          <w:szCs w:val="24"/>
        </w:rPr>
        <w:t>поредбите на Конвенцията от Ланза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роте на Съвета на Европа за защита на децата срещу сексуална експлоатация и сексуално насилие с цел подаване на сигнал за насилие, малтретиране и сексуално насилие по време на тази пандемия.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38"/>
      </w:r>
    </w:p>
    <w:p w:rsidR="00FD0718" w:rsidRPr="0070571F" w:rsidRDefault="00FD0718" w:rsidP="00757328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Жертвите на трафик на хора могат да се окажат в още по-уязвимо положение в резултат на ограничения капацитет на правоприлагането и услугите, които ги подкрепят, като например приютите.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39"/>
      </w:r>
    </w:p>
    <w:p w:rsidR="00FD0718" w:rsidRPr="0070571F" w:rsidRDefault="00FD0718" w:rsidP="00757328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Тъй като съвременните общества разчитат повече от всякога на компютърните системи, </w:t>
      </w:r>
      <w:r w:rsidR="007B6088" w:rsidRPr="0070571F">
        <w:rPr>
          <w:rStyle w:val="Normal"/>
          <w:rFonts w:ascii="Calibri" w:hAnsi="Calibri" w:cs="Calibri"/>
          <w:color w:val="000000"/>
          <w:sz w:val="24"/>
          <w:szCs w:val="24"/>
        </w:rPr>
        <w:t>по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време на криза</w:t>
      </w:r>
      <w:r w:rsidR="007B6088" w:rsidRPr="0070571F">
        <w:rPr>
          <w:rStyle w:val="Normal"/>
          <w:rFonts w:ascii="Calibri" w:hAnsi="Calibri" w:cs="Calibri"/>
          <w:color w:val="000000"/>
          <w:sz w:val="24"/>
          <w:szCs w:val="24"/>
        </w:rPr>
        <w:t>та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злонамерените лица могат </w:t>
      </w:r>
      <w:r w:rsidR="0070571F" w:rsidRPr="0070571F">
        <w:rPr>
          <w:rStyle w:val="Normal"/>
          <w:rFonts w:ascii="Calibri" w:hAnsi="Calibri" w:cs="Calibri"/>
          <w:color w:val="000000"/>
          <w:sz w:val="24"/>
          <w:szCs w:val="24"/>
        </w:rPr>
        <w:t>на свой ред д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а използват тази зависимост в своя полза (схеми за измами, фишинг кампании и разпространение на зловреден софтуер чрез на пръв поглед истински уебсайтове за информация или съвети за COVID-19, които се използват за заразяване на компютри, за извличане на потребителски данни или измамни плащания). Децата не са изключение от рисковете в киберпространството и със затварянето на училищата увеличената употреба на интернет и социални медии се отразява на сигурността им. </w:t>
      </w:r>
      <w:r w:rsidRPr="0070571F">
        <w:rPr>
          <w:rStyle w:val="Normal"/>
          <w:rFonts w:ascii="Calibri" w:hAnsi="Calibri" w:cs="Calibri"/>
          <w:sz w:val="24"/>
          <w:szCs w:val="24"/>
        </w:rPr>
        <w:t>Освен това, разпространението на коронавирус за съжаление предлага нови възможности на престъпниците да се възползват от увеличеното търсене на медицински, лични предпазни средства и хигиенни продукти.</w:t>
      </w:r>
      <w:r w:rsidRPr="0070571F">
        <w:rPr>
          <w:rStyle w:val="Normal"/>
          <w:rFonts w:ascii="Calibri" w:hAnsi="Calibri" w:cs="Calibri"/>
          <w:color w:val="161616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Те включват фалшиви лекарства или фалшиви медицински изделия, като комплекти за тестване за COVID-19, които се предлагат, както онлайн, така и офлайн. </w:t>
      </w:r>
      <w:r w:rsidRPr="0070571F">
        <w:rPr>
          <w:rStyle w:val="Normal"/>
          <w:rFonts w:ascii="Calibri" w:hAnsi="Calibri" w:cs="Calibri"/>
          <w:sz w:val="24"/>
          <w:szCs w:val="24"/>
        </w:rPr>
        <w:t>Производството и разпространението на фалшиви медицински продукти представляват значителен риск за общественото здраве и застрашават правото на живот и правото на здраве.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="0070571F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Правораздавателните органи в пълно сътрудничество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трябва да </w:t>
      </w:r>
      <w:r w:rsidR="0070571F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се ангажират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за </w:t>
      </w:r>
      <w:r w:rsidR="0070571F" w:rsidRPr="0070571F">
        <w:rPr>
          <w:rStyle w:val="Normal"/>
          <w:rFonts w:ascii="Calibri" w:hAnsi="Calibri" w:cs="Calibri"/>
          <w:color w:val="000000"/>
          <w:sz w:val="24"/>
          <w:szCs w:val="24"/>
        </w:rPr>
        <w:t>откриване, разследване, разкриване на виновните и подвеждането им под отговорност за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горепосочените престъпления. </w:t>
      </w:r>
      <w:r w:rsidRPr="0070571F">
        <w:rPr>
          <w:rStyle w:val="Normal"/>
          <w:rFonts w:ascii="Calibri" w:hAnsi="Calibri" w:cs="Calibri"/>
          <w:sz w:val="24"/>
          <w:szCs w:val="24"/>
        </w:rPr>
        <w:t>В рамките на Конвенцията на Съвета на Европа (</w:t>
      </w:r>
      <w:r w:rsidR="007B6088" w:rsidRPr="0070571F">
        <w:rPr>
          <w:rStyle w:val="Normal"/>
          <w:rFonts w:ascii="Calibri" w:hAnsi="Calibri" w:cs="Calibri"/>
          <w:sz w:val="24"/>
          <w:szCs w:val="24"/>
        </w:rPr>
        <w:t xml:space="preserve">Конвенцията по </w:t>
      </w:r>
      <w:r w:rsidRPr="0070571F">
        <w:rPr>
          <w:rStyle w:val="Normal"/>
          <w:rFonts w:ascii="Calibri" w:hAnsi="Calibri" w:cs="Calibri"/>
          <w:sz w:val="24"/>
          <w:szCs w:val="24"/>
        </w:rPr>
        <w:t>киберпрестъпност (Будапеща), Конвенцията MEDICRIME</w:t>
      </w:r>
      <w:r w:rsidRPr="0070571F">
        <w:rPr>
          <w:rStyle w:val="FootnoteReference"/>
          <w:rFonts w:ascii="Calibri" w:hAnsi="Calibri" w:cs="Calibri"/>
          <w:color w:val="000000"/>
          <w:sz w:val="24"/>
          <w:szCs w:val="24"/>
        </w:rPr>
        <w:footnoteReference w:id="40"/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, Конвенцията </w:t>
      </w:r>
      <w:r w:rsidR="0070571F" w:rsidRPr="0070571F">
        <w:rPr>
          <w:rStyle w:val="Normal"/>
          <w:rFonts w:ascii="Calibri" w:hAnsi="Calibri" w:cs="Calibri"/>
          <w:color w:val="000000"/>
          <w:sz w:val="24"/>
          <w:szCs w:val="24"/>
        </w:rPr>
        <w:t>от Ланз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ароте за защита на децата срещу сексуална експлоатация и насилие)</w:t>
      </w:r>
      <w:r w:rsidR="007B6088" w:rsidRPr="0070571F">
        <w:rPr>
          <w:rStyle w:val="Normal"/>
          <w:rFonts w:ascii="Calibri" w:hAnsi="Calibri" w:cs="Calibri"/>
          <w:color w:val="000000"/>
          <w:sz w:val="24"/>
          <w:szCs w:val="24"/>
        </w:rPr>
        <w:t>,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страните си сътрудничат тясно за подобряване на техните разпоредби в сферата на наказателното право, процедурните правомощия и международното сътрудничество, необходимо за противодействие на тези заплахи.</w:t>
      </w:r>
    </w:p>
    <w:p w:rsidR="00FD0718" w:rsidRPr="0070571F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D0718" w:rsidRPr="0070571F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FD0718" w:rsidRPr="0070571F" w:rsidRDefault="00FD0718" w:rsidP="0075009F">
      <w:pPr>
        <w:shd w:val="clear" w:color="auto" w:fill="FFFFFF"/>
        <w:spacing w:before="120" w:after="120"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b/>
          <w:color w:val="000000"/>
          <w:sz w:val="24"/>
          <w:szCs w:val="24"/>
        </w:rPr>
        <w:t>5. Следващи стъпки: Съветът на Европа е по-</w:t>
      </w:r>
      <w:r w:rsidR="00D810C9">
        <w:rPr>
          <w:rStyle w:val="Normal"/>
          <w:rFonts w:ascii="Calibri" w:hAnsi="Calibri" w:cs="Calibri"/>
          <w:b/>
          <w:color w:val="000000"/>
          <w:sz w:val="24"/>
          <w:szCs w:val="24"/>
        </w:rPr>
        <w:t>значим</w:t>
      </w:r>
      <w:r w:rsidRPr="0070571F">
        <w:rPr>
          <w:rStyle w:val="Normal"/>
          <w:rFonts w:ascii="Calibri" w:hAnsi="Calibri" w:cs="Calibri"/>
          <w:b/>
          <w:color w:val="000000"/>
          <w:sz w:val="24"/>
          <w:szCs w:val="24"/>
        </w:rPr>
        <w:t xml:space="preserve"> от всякога</w:t>
      </w:r>
    </w:p>
    <w:p w:rsidR="00FD0718" w:rsidRPr="0070571F" w:rsidRDefault="00FD0718" w:rsidP="0075009F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Съветът на Европа беше създаден, за да възстанови трайния мир в Европа след най-катастрофалната война в нашата история. Той до голяма степен успя да стане през цялата си 70-годишна история общоевропейска организация с уникални институции, които дават водещ световен пример. Предизвикателството, с което се сблъскват нашите общества днес, е безпрецедентно. Дори след острата фаза на кризата, нашите общества ще трябва да намерят средства за поправяне на социалните и икономически щети и за допълнително засилване на доверието в нашите демократични институции. Наред с другото, ще трябва да се започнат обширни изследвания на защитата на най-уязвимите индивиди и групи в нашите общества и на средствата за защита на техните права в по-устойчив и солидарен модел на управление.</w:t>
      </w:r>
    </w:p>
    <w:p w:rsidR="00FD0718" w:rsidRPr="0070571F" w:rsidRDefault="00FD0718" w:rsidP="0075009F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Съветът на Европа ще продължи да полага всички усилия з</w:t>
      </w:r>
      <w:r w:rsidR="00D810C9">
        <w:rPr>
          <w:rStyle w:val="Normal"/>
          <w:rFonts w:ascii="Calibri" w:hAnsi="Calibri" w:cs="Calibri"/>
          <w:color w:val="000000"/>
          <w:sz w:val="24"/>
          <w:szCs w:val="24"/>
        </w:rPr>
        <w:t xml:space="preserve">а подпомагане на своите държави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членки по време на настоящата криза, както и на последствията от нея. Широкият спектър от ефективни правни инструменти, техническа експертиза и широка мрежа от национални експерти предлагат ценни инструменти за правителствата и гражданите, за да намерят най-добрите и устойчиви отговори за защита на общественото здраве, поддържане на демократичната тъкан на нашите общества и смекчаване на социалните последици от кризата.</w:t>
      </w:r>
    </w:p>
    <w:p w:rsidR="00FD0718" w:rsidRPr="0070571F" w:rsidRDefault="00FD0718" w:rsidP="0060640F">
      <w:pPr>
        <w:shd w:val="clear" w:color="auto" w:fill="FFFFFF"/>
        <w:spacing w:line="276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Нормативните органи, всички институции на Съвета на Европа и Секретариата са мобилизирани и </w:t>
      </w:r>
      <w:r w:rsidR="0075009F"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те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ще вложат всичките си усилия </w:t>
      </w:r>
      <w:r w:rsidR="0075009F" w:rsidRPr="0070571F">
        <w:rPr>
          <w:rStyle w:val="Normal"/>
          <w:rFonts w:ascii="Calibri" w:hAnsi="Calibri" w:cs="Calibri"/>
          <w:color w:val="000000"/>
          <w:sz w:val="24"/>
          <w:szCs w:val="24"/>
        </w:rPr>
        <w:t>за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използва</w:t>
      </w:r>
      <w:r w:rsidR="0075009F" w:rsidRPr="0070571F">
        <w:rPr>
          <w:rStyle w:val="Normal"/>
          <w:rFonts w:ascii="Calibri" w:hAnsi="Calibri" w:cs="Calibri"/>
          <w:color w:val="000000"/>
          <w:sz w:val="24"/>
          <w:szCs w:val="24"/>
        </w:rPr>
        <w:t>не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 xml:space="preserve"> инструментите и ресурсите на Организацията за споделяне на информация, добри практики и поуки между всички заинтересовани страни, включително властите, гражданското общество и гражданите, за да намерим общи отговори на предизвикателствата, пред които сме изправени. Всички програми и дейности на Организацията (включително - при поискване - програми за сътрудничество с държави</w:t>
      </w:r>
      <w:r w:rsidR="00D810C9">
        <w:rPr>
          <w:rStyle w:val="Normal"/>
          <w:rFonts w:ascii="Calibri" w:hAnsi="Calibri" w:cs="Calibri"/>
          <w:color w:val="000000"/>
          <w:sz w:val="24"/>
          <w:szCs w:val="24"/>
        </w:rPr>
        <w:t xml:space="preserve"> </w:t>
      </w:r>
      <w:r w:rsidRPr="0070571F">
        <w:rPr>
          <w:rStyle w:val="Normal"/>
          <w:rFonts w:ascii="Calibri" w:hAnsi="Calibri" w:cs="Calibri"/>
          <w:color w:val="000000"/>
          <w:sz w:val="24"/>
          <w:szCs w:val="24"/>
        </w:rPr>
        <w:t>членки и трети страни) ще бъдат пренасочени към включване на компоненти, които ще направят приноса на Организацията възможно най-подходящ, навременен и конкретен.</w:t>
      </w:r>
    </w:p>
    <w:sectPr w:rsidR="00FD0718" w:rsidRPr="0070571F" w:rsidSect="00FD071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9" w:h="16838" w:code="9"/>
      <w:pgMar w:top="1701" w:right="1361" w:bottom="1985" w:left="136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72" w:rsidRDefault="00157D72" w:rsidP="00FD0718">
      <w:r>
        <w:separator/>
      </w:r>
    </w:p>
  </w:endnote>
  <w:endnote w:type="continuationSeparator" w:id="0">
    <w:p w:rsidR="00157D72" w:rsidRDefault="00157D72" w:rsidP="00FD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870" w:rsidRDefault="00B65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870" w:rsidRDefault="00B658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870" w:rsidRDefault="00B65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72" w:rsidRDefault="00157D72" w:rsidP="00FD0718">
      <w:r>
        <w:separator/>
      </w:r>
    </w:p>
  </w:footnote>
  <w:footnote w:type="continuationSeparator" w:id="0">
    <w:p w:rsidR="00157D72" w:rsidRDefault="00157D72" w:rsidP="00FD0718">
      <w:r>
        <w:continuationSeparator/>
      </w:r>
    </w:p>
  </w:footnote>
  <w:footnote w:id="1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 xml:space="preserve">CM отговор на </w:t>
      </w:r>
      <w:r w:rsidR="00FB63EE" w:rsidRPr="00157D72">
        <w:rPr>
          <w:rStyle w:val="Normal"/>
          <w:rFonts w:ascii="Calibri" w:hAnsi="Calibri" w:cs="Times New Roman"/>
          <w:color w:val="000000"/>
        </w:rPr>
        <w:t>ПАСЕ</w:t>
      </w:r>
      <w:r w:rsidRPr="00157D72">
        <w:rPr>
          <w:rStyle w:val="Normal"/>
          <w:rFonts w:ascii="Calibri" w:hAnsi="Calibri" w:cs="Times New Roman"/>
          <w:color w:val="000000"/>
        </w:rPr>
        <w:t xml:space="preserve"> препоръка 2125 (2018).</w:t>
      </w:r>
    </w:p>
  </w:footnote>
  <w:footnote w:id="2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</w:t>
      </w:r>
      <w:r w:rsidRPr="00157D72">
        <w:rPr>
          <w:rStyle w:val="FootnoteText"/>
          <w:rFonts w:ascii="Calibri" w:hAnsi="Calibri" w:cs="Times New Roman"/>
          <w:color w:val="000000"/>
        </w:rPr>
        <w:t>Виж ръководството за член 15 от Конвенцията (31 декември 2019 г.), публикувано от секретариата на Съда.</w:t>
      </w:r>
    </w:p>
  </w:footnote>
  <w:footnote w:id="3">
    <w:p w:rsidR="00FD0718" w:rsidRPr="00ED6B82" w:rsidRDefault="00FD0718" w:rsidP="00ED6B82">
      <w:pPr>
        <w:pStyle w:val="FootnoteText"/>
        <w:jc w:val="both"/>
        <w:rPr>
          <w:rFonts w:ascii="Times New Roman" w:hAnsi="Times New Roman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Решение по случая Ирландия срещу Обединеното кралство от 18.01.1978 г., серия A </w:t>
      </w:r>
      <w:r w:rsidRPr="00157D72">
        <w:rPr>
          <w:rStyle w:val="FootnoteText"/>
          <w:rFonts w:ascii="Calibri" w:hAnsi="Calibri" w:cs="Times New Roman"/>
          <w:cs/>
        </w:rPr>
        <w:t xml:space="preserve">№ </w:t>
      </w:r>
      <w:r w:rsidRPr="00157D72">
        <w:rPr>
          <w:rStyle w:val="FootnoteText"/>
          <w:rFonts w:ascii="Calibri" w:hAnsi="Calibri" w:cs="Times New Roman"/>
        </w:rPr>
        <w:t>25,</w:t>
      </w:r>
      <w:r w:rsidRPr="00157D72">
        <w:rPr>
          <w:rStyle w:val="FootnoteText"/>
          <w:rFonts w:ascii="Calibri" w:hAnsi="Calibri"/>
        </w:rPr>
        <w:t xml:space="preserve"> </w:t>
      </w:r>
      <w:r w:rsidRPr="00157D72">
        <w:rPr>
          <w:rStyle w:val="FootnoteText"/>
          <w:rFonts w:ascii="Calibri" w:hAnsi="Calibri" w:cs="Times New Roman"/>
        </w:rPr>
        <w:t>параграф 207.</w:t>
      </w:r>
    </w:p>
  </w:footnote>
  <w:footnote w:id="4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Мехмет Хасан Алтан срещу Турция, параграфи 94 и 210; и Сахин Алпай срещу Турция, параграфи 78 и 180.</w:t>
      </w:r>
    </w:p>
  </w:footnote>
  <w:footnote w:id="5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</w:t>
      </w:r>
      <w:r w:rsidRPr="00157D72">
        <w:rPr>
          <w:rStyle w:val="FootnoteText"/>
          <w:rFonts w:ascii="Calibri" w:hAnsi="Calibri" w:cs="Times New Roman"/>
          <w:color w:val="000000"/>
        </w:rPr>
        <w:t>Виж Венецианската комисия, Становище относно защитата правата на човека в извънредна ситуация, CDL-AD(2006)015), параграф 13.</w:t>
      </w:r>
    </w:p>
  </w:footnote>
  <w:footnote w:id="6">
    <w:p w:rsidR="00FD0718" w:rsidRPr="00ED6B82" w:rsidRDefault="00FD0718" w:rsidP="00ED6B8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>Виж Контролния лист за върховенство</w:t>
      </w:r>
      <w:r w:rsidR="006D1E31" w:rsidRPr="00157D72">
        <w:rPr>
          <w:rStyle w:val="Normal"/>
          <w:rFonts w:ascii="Calibri" w:hAnsi="Calibri" w:cs="Times New Roman"/>
          <w:color w:val="000000"/>
        </w:rPr>
        <w:t>то</w:t>
      </w:r>
      <w:r w:rsidRPr="00157D72">
        <w:rPr>
          <w:rStyle w:val="Normal"/>
          <w:rFonts w:ascii="Calibri" w:hAnsi="Calibri" w:cs="Times New Roman"/>
          <w:color w:val="000000"/>
        </w:rPr>
        <w:t xml:space="preserve"> на закона на Венецианската комисия (CDL-AD(2016)007), параграфи 44 и 45.</w:t>
      </w:r>
    </w:p>
  </w:footnote>
  <w:footnote w:id="7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</w:t>
      </w:r>
      <w:r w:rsidRPr="00157D72">
        <w:rPr>
          <w:rStyle w:val="FootnoteText"/>
          <w:rFonts w:ascii="Calibri" w:hAnsi="Calibri" w:cs="Times New Roman"/>
          <w:color w:val="000000"/>
        </w:rPr>
        <w:t xml:space="preserve">До 29 март 2020 </w:t>
      </w:r>
      <w:r w:rsidR="00FF2C4A" w:rsidRPr="00157D72">
        <w:rPr>
          <w:rStyle w:val="FootnoteText"/>
          <w:rFonts w:ascii="Calibri" w:hAnsi="Calibri" w:cs="Times New Roman"/>
          <w:color w:val="000000"/>
        </w:rPr>
        <w:t xml:space="preserve">г. 22 от нашите държави </w:t>
      </w:r>
      <w:r w:rsidRPr="00157D72">
        <w:rPr>
          <w:rStyle w:val="FootnoteText"/>
          <w:rFonts w:ascii="Calibri" w:hAnsi="Calibri" w:cs="Times New Roman"/>
          <w:color w:val="000000"/>
        </w:rPr>
        <w:t>членки бяха обявили извънредни ситуации.</w:t>
      </w:r>
    </w:p>
  </w:footnote>
  <w:footnote w:id="8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Опитът показва, че </w:t>
      </w:r>
      <w:r w:rsidRPr="00157D72">
        <w:rPr>
          <w:rStyle w:val="FootnoteText"/>
          <w:rFonts w:ascii="Calibri" w:hAnsi="Calibri" w:cs="Times New Roman"/>
          <w:i/>
          <w:cs/>
        </w:rPr>
        <w:t>„</w:t>
      </w:r>
      <w:r w:rsidRPr="00157D72">
        <w:rPr>
          <w:rStyle w:val="FootnoteText"/>
          <w:rFonts w:ascii="Calibri" w:hAnsi="Calibri" w:cs="Times New Roman"/>
          <w:i/>
        </w:rPr>
        <w:t xml:space="preserve">колкото по-дълго трае извънредният режим, толкова по-вероятно е държавата да се отдалечи от обективните критерии, които може да са </w:t>
      </w:r>
      <w:r w:rsidR="006D1E31" w:rsidRPr="00157D72">
        <w:rPr>
          <w:rStyle w:val="FootnoteText"/>
          <w:rFonts w:ascii="Calibri" w:hAnsi="Calibri" w:cs="Times New Roman"/>
          <w:i/>
        </w:rPr>
        <w:t>оправдали</w:t>
      </w:r>
      <w:r w:rsidRPr="00157D72">
        <w:rPr>
          <w:rStyle w:val="FootnoteText"/>
          <w:rFonts w:ascii="Calibri" w:hAnsi="Calibri" w:cs="Times New Roman"/>
          <w:i/>
        </w:rPr>
        <w:t xml:space="preserve"> използването на извънредните правомощия на първо място.</w:t>
      </w:r>
      <w:r w:rsidRPr="00157D72">
        <w:rPr>
          <w:rStyle w:val="FootnoteText"/>
          <w:rFonts w:ascii="Calibri" w:hAnsi="Calibri" w:cs="Times New Roman"/>
          <w:i/>
          <w:color w:val="000000"/>
        </w:rPr>
        <w:t xml:space="preserve"> Колкото по-дълго продължава ситуацията, толкова по-малко оправдание има за третиране на ситуация като на изключителна в своето естество, като последицата е, че тя не може да бъде разрешена чрез прилагане на нормални правни инструменти." </w:t>
      </w:r>
      <w:r w:rsidRPr="00157D72">
        <w:rPr>
          <w:rStyle w:val="FootnoteText"/>
          <w:rFonts w:ascii="Calibri" w:hAnsi="Calibri" w:cs="Times New Roman"/>
        </w:rPr>
        <w:t xml:space="preserve">- Венецианската комисия, Турция - Становище относно Законовите актове за постановления в извънредни ситуации </w:t>
      </w:r>
      <w:r w:rsidRPr="00157D72">
        <w:rPr>
          <w:rStyle w:val="FootnoteText"/>
          <w:rFonts w:ascii="Calibri" w:hAnsi="Calibri" w:cs="Times New Roman"/>
          <w:cs/>
        </w:rPr>
        <w:t xml:space="preserve">№ </w:t>
      </w:r>
      <w:r w:rsidRPr="00157D72">
        <w:rPr>
          <w:rStyle w:val="FootnoteText"/>
          <w:rFonts w:ascii="Calibri" w:hAnsi="Calibri" w:cs="Times New Roman"/>
        </w:rPr>
        <w:t>s667-676, прието след неуспешния преврат от 15 юли 2016 г., CDL-AD(2016)037, параграф</w:t>
      </w:r>
      <w:r w:rsidRPr="00157D72">
        <w:rPr>
          <w:rStyle w:val="FootnoteText"/>
          <w:rFonts w:ascii="Calibri" w:hAnsi="Calibri" w:cs="Times New Roman"/>
          <w:color w:val="000000"/>
        </w:rPr>
        <w:t xml:space="preserve"> 41х </w:t>
      </w:r>
    </w:p>
  </w:footnote>
  <w:footnote w:id="9">
    <w:p w:rsidR="00FD0718" w:rsidRPr="00ED6B82" w:rsidRDefault="00FD0718" w:rsidP="00ED6B8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hyperlink r:id="rId1" w:history="1"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 xml:space="preserve"> CommDH(2002)7, Opinion 1/2002 on certain aspects of the United Kingdom derogation from Article 5 par. 1 of the European Convention on Human Rights,</w:t>
        </w:r>
      </w:hyperlink>
      <w:r w:rsidRPr="00157D72">
        <w:rPr>
          <w:rStyle w:val="Normal"/>
          <w:rFonts w:ascii="Calibri" w:hAnsi="Calibri" w:cs="Times New Roman"/>
          <w:color w:val="C00000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>стр. 25; вижте и Венецианската комисия,</w:t>
      </w:r>
      <w:hyperlink r:id="rId2" w:history="1"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 xml:space="preserve"> Parameters On The Relationship Between The Parliamentary Majority And The Opposition In A Democracy: A Checklist </w:t>
        </w:r>
      </w:hyperlink>
      <w:r w:rsidRPr="00157D72">
        <w:rPr>
          <w:rStyle w:val="Normal"/>
          <w:rFonts w:ascii="Calibri" w:hAnsi="Calibri" w:cs="Times New Roman"/>
          <w:color w:val="000000"/>
        </w:rPr>
        <w:t>(CDL-AD(2019)019), параграф 119).</w:t>
      </w:r>
    </w:p>
  </w:footnote>
  <w:footnote w:id="10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 xml:space="preserve">Виж Резолюция 1659 (2009) на </w:t>
      </w:r>
      <w:r w:rsidR="00FB63EE" w:rsidRPr="00157D72">
        <w:rPr>
          <w:rStyle w:val="Normal"/>
          <w:rFonts w:ascii="Calibri" w:hAnsi="Calibri" w:cs="Times New Roman"/>
          <w:color w:val="000000"/>
        </w:rPr>
        <w:t>ПАСЕ</w:t>
      </w:r>
      <w:r w:rsidRPr="00157D72">
        <w:rPr>
          <w:rStyle w:val="Normal"/>
          <w:rFonts w:ascii="Calibri" w:hAnsi="Calibri" w:cs="Times New Roman"/>
          <w:color w:val="000000"/>
        </w:rPr>
        <w:t>, Защита на правата на човека в извънредни ситуации, стр. 12; Виж също цитирания по-горе контролен списък за върховенство</w:t>
      </w:r>
      <w:r w:rsidR="006D1E31" w:rsidRPr="00157D72">
        <w:rPr>
          <w:rStyle w:val="Normal"/>
          <w:rFonts w:ascii="Calibri" w:hAnsi="Calibri" w:cs="Times New Roman"/>
          <w:color w:val="000000"/>
        </w:rPr>
        <w:t>то</w:t>
      </w:r>
      <w:r w:rsidRPr="00157D72">
        <w:rPr>
          <w:rStyle w:val="Normal"/>
          <w:rFonts w:ascii="Calibri" w:hAnsi="Calibri" w:cs="Times New Roman"/>
          <w:color w:val="000000"/>
        </w:rPr>
        <w:t xml:space="preserve"> на закона и член 15 от Конвенцията (</w:t>
      </w:r>
      <w:r w:rsidRPr="00157D72">
        <w:rPr>
          <w:rStyle w:val="Normal"/>
          <w:rFonts w:ascii="Calibri" w:hAnsi="Calibri" w:cs="Times New Roman"/>
          <w:color w:val="000000"/>
          <w:cs/>
        </w:rPr>
        <w:t>„</w:t>
      </w:r>
      <w:r w:rsidRPr="00157D72">
        <w:rPr>
          <w:rStyle w:val="Normal"/>
          <w:rFonts w:ascii="Calibri" w:hAnsi="Calibri" w:cs="Times New Roman"/>
          <w:color w:val="000000"/>
        </w:rPr>
        <w:t>Дерогация в извънредни ситуации</w:t>
      </w:r>
      <w:r w:rsidRPr="00157D72">
        <w:rPr>
          <w:rStyle w:val="Normal"/>
          <w:rFonts w:ascii="Calibri" w:hAnsi="Calibri" w:cs="Times New Roman"/>
          <w:color w:val="000000"/>
          <w:cs/>
        </w:rPr>
        <w:t>“</w:t>
      </w:r>
      <w:r w:rsidRPr="00157D72">
        <w:rPr>
          <w:rStyle w:val="Normal"/>
          <w:rFonts w:ascii="Calibri" w:hAnsi="Calibri" w:cs="Times New Roman"/>
          <w:color w:val="000000"/>
        </w:rPr>
        <w:t>); Член 4 от МПГПП; Член 27 от ACHR. За извънредните правомощия виж също докладите на Венецианската комисия за извънредните правомощия (CDL-STD(1995)012) и за защит</w:t>
      </w:r>
      <w:r w:rsidR="006D1E31" w:rsidRPr="00157D72">
        <w:rPr>
          <w:rStyle w:val="Normal"/>
          <w:rFonts w:ascii="Calibri" w:hAnsi="Calibri" w:cs="Times New Roman"/>
          <w:color w:val="000000"/>
        </w:rPr>
        <w:t>а</w:t>
      </w:r>
      <w:r w:rsidRPr="00157D72">
        <w:rPr>
          <w:rStyle w:val="Normal"/>
          <w:rFonts w:ascii="Calibri" w:hAnsi="Calibri" w:cs="Times New Roman"/>
          <w:color w:val="000000"/>
        </w:rPr>
        <w:t xml:space="preserve"> правата на човека при извънредни ситуации (CDL-AD(2006)015).</w:t>
      </w:r>
    </w:p>
  </w:footnote>
  <w:footnote w:id="11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  <w:sz w:val="24"/>
          <w:szCs w:val="24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Принципът на необходимост не се разглежда пряко в контекста на институционалните извънредни мерки, но може да се извлече от изискването за пропорционалност и необходимост от извънредните мерки в областта на правата на човека - виж</w:t>
      </w:r>
      <w:hyperlink r:id="rId3" w:history="1"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 xml:space="preserve"> Венецианската комисия, Становище относно проекта на конституционен закон за „Защита на нацията“ на Франция, CDL-AD(2016)006,</w:t>
        </w:r>
      </w:hyperlink>
      <w:r w:rsidRPr="00157D72">
        <w:rPr>
          <w:rStyle w:val="Normal"/>
          <w:rFonts w:ascii="Calibri" w:hAnsi="Calibri" w:cs="Times New Roman"/>
          <w:color w:val="C00000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>параграф 71</w:t>
      </w:r>
    </w:p>
  </w:footnote>
  <w:footnote w:id="12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  <w:sz w:val="24"/>
          <w:szCs w:val="24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hyperlink r:id="rId4" w:history="1"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 xml:space="preserve"> CM(2008)170, </w:t>
        </w:r>
        <w:r w:rsidR="005500CF" w:rsidRPr="00157D72">
          <w:rPr>
            <w:rStyle w:val="Normal"/>
            <w:rFonts w:ascii="Calibri" w:hAnsi="Calibri" w:cs="Times New Roman"/>
            <w:color w:val="0066CC"/>
            <w:u w:val="single"/>
          </w:rPr>
          <w:t>Документ на Комитета на министрите относно Съвета на Европа и върховенството на закона</w:t>
        </w:r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>,</w:t>
        </w:r>
      </w:hyperlink>
      <w:r w:rsidRPr="00157D72">
        <w:rPr>
          <w:rStyle w:val="Normal"/>
          <w:rFonts w:ascii="Calibri" w:hAnsi="Calibri" w:cs="Times New Roman"/>
          <w:color w:val="4F81BD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 xml:space="preserve">стр. 46; виж също </w:t>
      </w:r>
      <w:r w:rsidR="005500CF" w:rsidRPr="00157D72">
        <w:rPr>
          <w:rStyle w:val="Normal"/>
          <w:rFonts w:ascii="Calibri" w:hAnsi="Calibri" w:cs="Times New Roman"/>
          <w:color w:val="4F81BD"/>
        </w:rPr>
        <w:t xml:space="preserve">Венецианска комисия, параметри за връзката между парламентарното мнозинство и опозицията в демокрацията: контролен списък </w:t>
      </w:r>
      <w:r w:rsidRPr="00157D72">
        <w:rPr>
          <w:rStyle w:val="Normal"/>
          <w:rFonts w:ascii="Calibri" w:hAnsi="Calibri" w:cs="Times New Roman"/>
          <w:color w:val="4F81BD"/>
        </w:rPr>
        <w:t xml:space="preserve">(CDL-AD(2019)019), </w:t>
      </w:r>
      <w:r w:rsidRPr="00157D72">
        <w:rPr>
          <w:rStyle w:val="Normal"/>
          <w:rFonts w:ascii="Calibri" w:hAnsi="Calibri" w:cs="Times New Roman"/>
        </w:rPr>
        <w:t>параграфи</w:t>
      </w:r>
      <w:r w:rsidRPr="00157D72">
        <w:rPr>
          <w:rStyle w:val="Normal"/>
          <w:rFonts w:ascii="Calibri" w:hAnsi="Calibri" w:cs="Times New Roman"/>
          <w:color w:val="000000"/>
        </w:rPr>
        <w:t xml:space="preserve"> 119 </w:t>
      </w:r>
      <w:r w:rsidRPr="00157D72">
        <w:rPr>
          <w:rStyle w:val="Normal"/>
          <w:rFonts w:ascii="Calibri" w:hAnsi="Calibri" w:cs="Times New Roman"/>
          <w:color w:val="000000"/>
          <w:cs/>
        </w:rPr>
        <w:t xml:space="preserve">– </w:t>
      </w:r>
      <w:r w:rsidRPr="00157D72">
        <w:rPr>
          <w:rStyle w:val="Normal"/>
          <w:rFonts w:ascii="Calibri" w:hAnsi="Calibri" w:cs="Times New Roman"/>
          <w:color w:val="000000"/>
        </w:rPr>
        <w:t xml:space="preserve">121, </w:t>
      </w:r>
      <w:r w:rsidRPr="00157D72">
        <w:rPr>
          <w:rStyle w:val="Normal"/>
          <w:rFonts w:ascii="Calibri" w:hAnsi="Calibri" w:cs="Times New Roman"/>
        </w:rPr>
        <w:t>и</w:t>
      </w:r>
      <w:hyperlink r:id="rId5" w:history="1"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 xml:space="preserve"> </w:t>
        </w:r>
        <w:r w:rsidR="005500CF" w:rsidRPr="00157D72">
          <w:rPr>
            <w:rStyle w:val="Normal"/>
            <w:rFonts w:ascii="Calibri" w:hAnsi="Calibri" w:cs="Times New Roman"/>
            <w:color w:val="0066CC"/>
            <w:u w:val="single"/>
          </w:rPr>
          <w:t>Турция - Становище относно законовите актове за спешно постановление № s667-676, прието след неуспешния преврат от 15 юли 2016 г.</w:t>
        </w:r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 xml:space="preserve"> (CDL-AD(2016)037), </w:t>
        </w:r>
      </w:hyperlink>
      <w:r w:rsidRPr="00157D72">
        <w:rPr>
          <w:rStyle w:val="Normal"/>
          <w:rFonts w:ascii="Calibri" w:hAnsi="Calibri" w:cs="Times New Roman"/>
          <w:color w:val="000000"/>
        </w:rPr>
        <w:t>параграф 98.</w:t>
      </w:r>
    </w:p>
  </w:footnote>
  <w:footnote w:id="13">
    <w:p w:rsidR="00FD0718" w:rsidRPr="00ED6B82" w:rsidRDefault="00FD0718" w:rsidP="00ED6B8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 xml:space="preserve">Значителен брой европейски конституции имат разпоредби, забраняващи изменения на конституцията по време на война, извънредни или подобни ситуации. Виж също </w:t>
      </w:r>
      <w:r w:rsidR="005500CF" w:rsidRPr="00157D72">
        <w:rPr>
          <w:rStyle w:val="Normal"/>
          <w:rFonts w:ascii="Calibri" w:hAnsi="Calibri" w:cs="Times New Roman"/>
          <w:color w:val="4F81BD"/>
        </w:rPr>
        <w:t xml:space="preserve">Венецианска комисия, Турция - Становище относно законодателни актове за спешни случаи № s667-676, прието след неуспешния преврат от 15 юли 2016 г. (CDL-AD(2016)037), </w:t>
      </w:r>
      <w:r w:rsidRPr="00157D72">
        <w:rPr>
          <w:rStyle w:val="Normal"/>
          <w:rFonts w:ascii="Calibri" w:hAnsi="Calibri" w:cs="Times New Roman"/>
          <w:color w:val="000000"/>
        </w:rPr>
        <w:t>параграфи 80 и 90).</w:t>
      </w:r>
    </w:p>
  </w:footnote>
  <w:footnote w:id="14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  <w:sz w:val="24"/>
          <w:szCs w:val="24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 xml:space="preserve">Виж Препоръка на </w:t>
      </w:r>
      <w:r w:rsidR="00FB63EE" w:rsidRPr="00157D72">
        <w:rPr>
          <w:rStyle w:val="Normal"/>
          <w:rFonts w:ascii="Calibri" w:hAnsi="Calibri" w:cs="Times New Roman"/>
          <w:color w:val="000000"/>
        </w:rPr>
        <w:t>ПАСЕ</w:t>
      </w:r>
      <w:r w:rsidRPr="00157D72">
        <w:rPr>
          <w:rStyle w:val="Normal"/>
          <w:rFonts w:ascii="Calibri" w:hAnsi="Calibri" w:cs="Times New Roman"/>
          <w:color w:val="000000"/>
        </w:rPr>
        <w:t xml:space="preserve"> 1713 (2005), Демократичен контрол върху с</w:t>
      </w:r>
      <w:r w:rsidR="00C74A99" w:rsidRPr="00157D72">
        <w:rPr>
          <w:rStyle w:val="Normal"/>
          <w:rFonts w:ascii="Calibri" w:hAnsi="Calibri" w:cs="Times New Roman"/>
          <w:color w:val="000000"/>
        </w:rPr>
        <w:t xml:space="preserve">ектора за сигурност в държавите </w:t>
      </w:r>
      <w:r w:rsidRPr="00157D72">
        <w:rPr>
          <w:rStyle w:val="Normal"/>
          <w:rFonts w:ascii="Calibri" w:hAnsi="Calibri" w:cs="Times New Roman"/>
          <w:color w:val="000000"/>
        </w:rPr>
        <w:t>членки, стр. 38</w:t>
      </w:r>
    </w:p>
  </w:footnote>
  <w:footnote w:id="15">
    <w:p w:rsidR="00FD0718" w:rsidRPr="00157D72" w:rsidRDefault="00FD0718" w:rsidP="00ED6B82">
      <w:pPr>
        <w:pStyle w:val="FootnoteText"/>
        <w:jc w:val="both"/>
        <w:rPr>
          <w:rFonts w:ascii="Calibri" w:hAnsi="Calibri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</w:t>
      </w:r>
      <w:r w:rsidRPr="00157D72">
        <w:rPr>
          <w:rStyle w:val="FootnoteText"/>
          <w:rFonts w:ascii="Calibri" w:hAnsi="Calibri" w:cs="Times New Roman"/>
          <w:color w:val="000000"/>
        </w:rPr>
        <w:t>Контролен лист за върховенство на закона на Венецианската комисия (CDL-AD(2016)007), параграф 51.</w:t>
      </w:r>
    </w:p>
  </w:footnote>
  <w:footnote w:id="16">
    <w:p w:rsidR="00FD0718" w:rsidRPr="00ED6B82" w:rsidRDefault="00FD0718" w:rsidP="00ED6B82">
      <w:pPr>
        <w:pStyle w:val="FootnoteText"/>
        <w:jc w:val="both"/>
        <w:rPr>
          <w:rFonts w:ascii="Times New Roman" w:hAnsi="Times New Roman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</w:t>
      </w:r>
      <w:r w:rsidRPr="00157D72">
        <w:rPr>
          <w:rStyle w:val="FootnoteText"/>
          <w:rFonts w:ascii="Calibri" w:hAnsi="Calibri" w:cs="Times New Roman"/>
          <w:color w:val="000000"/>
        </w:rPr>
        <w:t xml:space="preserve">Виж информационния лист </w:t>
      </w:r>
      <w:r w:rsidRPr="00157D72">
        <w:rPr>
          <w:rStyle w:val="FootnoteText"/>
          <w:rFonts w:ascii="Calibri" w:hAnsi="Calibri" w:cs="Times New Roman"/>
          <w:color w:val="000000"/>
          <w:cs/>
        </w:rPr>
        <w:t>„</w:t>
      </w:r>
      <w:r w:rsidRPr="00157D72">
        <w:rPr>
          <w:rStyle w:val="FootnoteText"/>
          <w:rFonts w:ascii="Calibri" w:hAnsi="Calibri" w:cs="Times New Roman"/>
          <w:color w:val="000000"/>
        </w:rPr>
        <w:t>Права, свързани със здравето на затворниците</w:t>
      </w:r>
      <w:r w:rsidRPr="00157D72">
        <w:rPr>
          <w:rStyle w:val="FootnoteText"/>
          <w:rFonts w:ascii="Calibri" w:hAnsi="Calibri" w:cs="Times New Roman"/>
          <w:color w:val="000000"/>
          <w:cs/>
        </w:rPr>
        <w:t>“</w:t>
      </w:r>
      <w:r w:rsidRPr="00157D72">
        <w:rPr>
          <w:rStyle w:val="FootnoteText"/>
          <w:rFonts w:ascii="Calibri" w:hAnsi="Calibri" w:cs="Times New Roman"/>
          <w:color w:val="000000"/>
        </w:rPr>
        <w:t>, публикуван от секретариата на Съда.</w:t>
      </w:r>
    </w:p>
  </w:footnote>
  <w:footnote w:id="17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  <w:sz w:val="24"/>
          <w:szCs w:val="24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Виж Кудобин срещу Русия, </w:t>
      </w:r>
      <w:r w:rsidRPr="00157D72">
        <w:rPr>
          <w:rStyle w:val="Normal"/>
          <w:rFonts w:ascii="Calibri" w:hAnsi="Calibri" w:cs="Times New Roman"/>
          <w:cs/>
        </w:rPr>
        <w:t xml:space="preserve">№ </w:t>
      </w:r>
      <w:r w:rsidRPr="00157D72">
        <w:rPr>
          <w:rStyle w:val="Normal"/>
          <w:rFonts w:ascii="Calibri" w:hAnsi="Calibri" w:cs="Times New Roman"/>
        </w:rPr>
        <w:t xml:space="preserve">59896/00, 26 октомври 2006 г.; Както </w:t>
      </w:r>
      <w:r w:rsidR="001C7A7F" w:rsidRPr="00157D72">
        <w:rPr>
          <w:rStyle w:val="Normal"/>
          <w:rFonts w:ascii="Calibri" w:hAnsi="Calibri" w:cs="Times New Roman"/>
        </w:rPr>
        <w:t>КПИ</w:t>
      </w:r>
      <w:r w:rsidRPr="00157D72">
        <w:rPr>
          <w:rStyle w:val="Normal"/>
          <w:rFonts w:ascii="Calibri" w:hAnsi="Calibri" w:cs="Times New Roman"/>
        </w:rPr>
        <w:t xml:space="preserve"> подробно описва в своята декларация за принципите, свързани с лечението на лица, лишени от свобода в контекста на пандемията от коронавирус (COVID-19), </w:t>
      </w:r>
      <w:r w:rsidRPr="00157D72">
        <w:rPr>
          <w:rStyle w:val="Normal"/>
          <w:rFonts w:ascii="Calibri" w:hAnsi="Calibri" w:cs="Times New Roman"/>
          <w:cs/>
        </w:rPr>
        <w:t>„</w:t>
      </w:r>
      <w:r w:rsidRPr="00157D72">
        <w:rPr>
          <w:rStyle w:val="Normal"/>
          <w:rFonts w:ascii="Calibri" w:hAnsi="Calibri" w:cs="Times New Roman"/>
        </w:rPr>
        <w:t xml:space="preserve">неадекватното ниво на здравно обслужване може бързо да доведе до ситуации, попадащи в обхвата на терминът </w:t>
      </w:r>
      <w:r w:rsidRPr="00157D72">
        <w:rPr>
          <w:rStyle w:val="Normal"/>
          <w:rFonts w:ascii="Calibri" w:hAnsi="Calibri" w:cs="Times New Roman"/>
          <w:cs/>
        </w:rPr>
        <w:t>„</w:t>
      </w:r>
      <w:r w:rsidRPr="00157D72">
        <w:rPr>
          <w:rStyle w:val="Normal"/>
          <w:rFonts w:ascii="Calibri" w:hAnsi="Calibri" w:cs="Times New Roman"/>
        </w:rPr>
        <w:t>нечовешко и унизително отношение</w:t>
      </w:r>
      <w:r w:rsidRPr="00157D72">
        <w:rPr>
          <w:rStyle w:val="Normal"/>
          <w:rFonts w:ascii="Calibri" w:hAnsi="Calibri" w:cs="Times New Roman"/>
          <w:cs/>
        </w:rPr>
        <w:t>“</w:t>
      </w:r>
      <w:r w:rsidRPr="00157D72">
        <w:rPr>
          <w:rStyle w:val="Normal"/>
          <w:rFonts w:ascii="Calibri" w:hAnsi="Calibri" w:cs="Times New Roman"/>
        </w:rPr>
        <w:t>.</w:t>
      </w:r>
    </w:p>
  </w:footnote>
  <w:footnote w:id="18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  <w:sz w:val="24"/>
          <w:szCs w:val="24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>Комисарят по правата на човека, който в своята работа често подчертава, че големите жилищни сгради, в които пребивават хора, лишени от свобода, са неподходящи за хора с увреждания и въ</w:t>
      </w:r>
      <w:r w:rsidR="00E64E14" w:rsidRPr="00157D72">
        <w:rPr>
          <w:rStyle w:val="Normal"/>
          <w:rFonts w:ascii="Calibri" w:hAnsi="Calibri" w:cs="Times New Roman"/>
          <w:color w:val="000000"/>
        </w:rPr>
        <w:t xml:space="preserve">зрастни хора, призова държавите </w:t>
      </w:r>
      <w:r w:rsidRPr="00157D72">
        <w:rPr>
          <w:rStyle w:val="Normal"/>
          <w:rFonts w:ascii="Calibri" w:hAnsi="Calibri" w:cs="Times New Roman"/>
          <w:color w:val="000000"/>
        </w:rPr>
        <w:t>членки, които са изправени пред пандемията, да спрат новите приеми в такива институции, да преместят хората с увреждания, доколкото е възможно, и да предприемат всички необходими мерки за защита на останалите пребивава</w:t>
      </w:r>
      <w:r w:rsidR="001C7A7F" w:rsidRPr="00157D72">
        <w:rPr>
          <w:rStyle w:val="Normal"/>
          <w:rFonts w:ascii="Calibri" w:hAnsi="Calibri" w:cs="Times New Roman"/>
          <w:color w:val="000000"/>
        </w:rPr>
        <w:t>щи</w:t>
      </w:r>
      <w:r w:rsidRPr="00157D72">
        <w:rPr>
          <w:rStyle w:val="Normal"/>
          <w:rFonts w:ascii="Calibri" w:hAnsi="Calibri" w:cs="Times New Roman"/>
          <w:color w:val="000000"/>
        </w:rPr>
        <w:t xml:space="preserve"> там; Изявления на Комисаря:</w:t>
      </w:r>
      <w:hyperlink r:id="rId6" w:history="1"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 xml:space="preserve"> </w:t>
        </w:r>
        <w:r w:rsidR="001C7A7F" w:rsidRPr="00157D72">
          <w:rPr>
            <w:rStyle w:val="Normal"/>
            <w:rFonts w:ascii="Calibri" w:hAnsi="Calibri" w:cs="Times New Roman"/>
            <w:color w:val="0066CC"/>
            <w:u w:val="single"/>
          </w:rPr>
          <w:t xml:space="preserve">Възрастните хора се нуждаят повече от всякога от подкрепа в условията на пандемията от </w:t>
        </w:r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>COVID-19,</w:t>
        </w:r>
      </w:hyperlink>
      <w:r w:rsidRPr="00157D72">
        <w:rPr>
          <w:rStyle w:val="Normal"/>
          <w:rFonts w:ascii="Calibri" w:hAnsi="Calibri" w:cs="Times New Roman"/>
          <w:color w:val="000000"/>
        </w:rPr>
        <w:t xml:space="preserve"> 20 март 2020 г., и</w:t>
      </w:r>
      <w:r w:rsidR="00B942A0" w:rsidRPr="00157D72">
        <w:rPr>
          <w:rStyle w:val="Normal"/>
          <w:rFonts w:ascii="Calibri" w:hAnsi="Calibri" w:cs="Times New Roman"/>
          <w:color w:val="000000"/>
        </w:rPr>
        <w:t xml:space="preserve"> </w:t>
      </w:r>
      <w:hyperlink r:id="rId7" w:history="1">
        <w:r w:rsidR="00B942A0" w:rsidRPr="00157D72">
          <w:rPr>
            <w:rStyle w:val="Normal"/>
            <w:rFonts w:ascii="Calibri" w:hAnsi="Calibri" w:cs="Times New Roman"/>
            <w:color w:val="0066CC"/>
            <w:u w:val="single"/>
          </w:rPr>
          <w:t>Хората</w:t>
        </w:r>
      </w:hyperlink>
      <w:r w:rsidR="00B942A0" w:rsidRPr="00157D72">
        <w:rPr>
          <w:rStyle w:val="Normal"/>
          <w:rFonts w:ascii="Calibri" w:hAnsi="Calibri" w:cs="Times New Roman"/>
          <w:color w:val="0066CC"/>
          <w:u w:val="single"/>
        </w:rPr>
        <w:t xml:space="preserve"> с увреждания не трябва да бъдат пренебрегвани в отговора на пандемията от </w:t>
      </w:r>
      <w:r w:rsidR="00B942A0" w:rsidRPr="00157D72">
        <w:rPr>
          <w:rStyle w:val="Normal"/>
          <w:rFonts w:ascii="Calibri" w:hAnsi="Calibri" w:cs="Times New Roman"/>
          <w:color w:val="0066CC"/>
          <w:u w:val="single"/>
          <w:lang w:val="en-US"/>
        </w:rPr>
        <w:t>COVID</w:t>
      </w:r>
      <w:r w:rsidR="00B942A0" w:rsidRPr="007173EE">
        <w:rPr>
          <w:rStyle w:val="Normal"/>
          <w:rFonts w:ascii="Calibri" w:hAnsi="Calibri" w:cs="Times New Roman"/>
          <w:color w:val="0066CC"/>
          <w:u w:val="single"/>
        </w:rPr>
        <w:t>-19</w:t>
      </w:r>
      <w:r w:rsidR="00B942A0" w:rsidRPr="00157D72">
        <w:rPr>
          <w:rStyle w:val="Normal"/>
          <w:rFonts w:ascii="Calibri" w:hAnsi="Calibri" w:cs="Times New Roman"/>
          <w:color w:val="0066CC"/>
          <w:u w:val="single"/>
        </w:rPr>
        <w:t>,</w:t>
      </w:r>
      <w:r w:rsidRPr="00157D72">
        <w:rPr>
          <w:rStyle w:val="Normal"/>
          <w:rFonts w:ascii="Calibri" w:hAnsi="Calibri" w:cs="Times New Roman"/>
          <w:color w:val="000000"/>
        </w:rPr>
        <w:t xml:space="preserve"> 2 април 2020 г.</w:t>
      </w:r>
    </w:p>
  </w:footnote>
  <w:footnote w:id="19">
    <w:p w:rsidR="00FD0718" w:rsidRPr="00ED6B82" w:rsidRDefault="00FD0718" w:rsidP="00ED6B8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>ECSR, Заключения XVII-2 (2005), Латвия.</w:t>
      </w:r>
    </w:p>
  </w:footnote>
  <w:footnote w:id="20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  <w:sz w:val="24"/>
          <w:szCs w:val="24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 xml:space="preserve">Конвенция на Съвета на Европа за изработване на Европейска фармакопея, ETS </w:t>
      </w:r>
      <w:r w:rsidRPr="00157D72">
        <w:rPr>
          <w:rStyle w:val="Normal"/>
          <w:rFonts w:ascii="Calibri" w:hAnsi="Calibri" w:cs="Times New Roman"/>
          <w:color w:val="000000"/>
          <w:cs/>
        </w:rPr>
        <w:t xml:space="preserve">№ </w:t>
      </w:r>
      <w:r w:rsidRPr="00157D72">
        <w:rPr>
          <w:rStyle w:val="Normal"/>
          <w:rFonts w:ascii="Calibri" w:hAnsi="Calibri" w:cs="Times New Roman"/>
          <w:color w:val="000000"/>
        </w:rPr>
        <w:t>050, Страсбург, 22 юли 1964 г.</w:t>
      </w:r>
      <w:r w:rsidR="00B942A0" w:rsidRPr="00157D72">
        <w:rPr>
          <w:rStyle w:val="Normal"/>
          <w:rFonts w:ascii="Calibri" w:hAnsi="Calibri" w:cs="Times New Roman"/>
          <w:color w:val="000000"/>
        </w:rPr>
        <w:t>,</w:t>
      </w:r>
      <w:r w:rsidRPr="00157D72">
        <w:rPr>
          <w:rStyle w:val="Normal"/>
          <w:rFonts w:ascii="Calibri" w:hAnsi="Calibri" w:cs="Times New Roman"/>
          <w:color w:val="000000"/>
        </w:rPr>
        <w:t xml:space="preserve"> и Протокол към Конвенцията за изработване на Европейска фармакопея, ETS </w:t>
      </w:r>
      <w:r w:rsidRPr="00157D72">
        <w:rPr>
          <w:rStyle w:val="Normal"/>
          <w:rFonts w:ascii="Calibri" w:hAnsi="Calibri" w:cs="Times New Roman"/>
          <w:color w:val="000000"/>
          <w:cs/>
        </w:rPr>
        <w:t xml:space="preserve">№ </w:t>
      </w:r>
      <w:r w:rsidRPr="00157D72">
        <w:rPr>
          <w:rStyle w:val="Normal"/>
          <w:rFonts w:ascii="Calibri" w:hAnsi="Calibri" w:cs="Times New Roman"/>
          <w:color w:val="000000"/>
        </w:rPr>
        <w:t>134, Страсбург, 1 ноември 1989 г.</w:t>
      </w:r>
    </w:p>
  </w:footnote>
  <w:footnote w:id="21">
    <w:p w:rsidR="00FD0718" w:rsidRDefault="00FD0718" w:rsidP="00ED6B82">
      <w:pPr>
        <w:pStyle w:val="FootnoteText"/>
        <w:jc w:val="both"/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Виж Европейски съд по правата на човека, Гера и други срещу Италия, решение от 19 февруари 1998 г., Доклади за съдебни решения и отсъждания 1998-I, стр. 227, параграф 58; Онерилдиз срещу Турция [GC], </w:t>
      </w:r>
      <w:r w:rsidRPr="00157D72">
        <w:rPr>
          <w:rStyle w:val="FootnoteText"/>
          <w:rFonts w:ascii="Calibri" w:hAnsi="Calibri" w:cs="Times New Roman"/>
          <w:cs/>
        </w:rPr>
        <w:t xml:space="preserve">№ </w:t>
      </w:r>
      <w:r w:rsidRPr="00157D72">
        <w:rPr>
          <w:rStyle w:val="FootnoteText"/>
          <w:rFonts w:ascii="Calibri" w:hAnsi="Calibri" w:cs="Times New Roman"/>
        </w:rPr>
        <w:t>48939/99, 30 ноември 2004 г.</w:t>
      </w:r>
    </w:p>
  </w:footnote>
  <w:footnote w:id="22">
    <w:p w:rsidR="00FD0718" w:rsidRPr="007173EE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  <w:sz w:val="24"/>
          <w:szCs w:val="24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Виж Мехмет Хасан Алтан срещу Турция, 13237/17, 20 март 2018 г.; по отношение на свободата на събранията, вижте Лашманкин и други срещу Русия, </w:t>
      </w:r>
      <w:r w:rsidRPr="00157D72">
        <w:rPr>
          <w:rStyle w:val="Normal"/>
          <w:rFonts w:ascii="Calibri" w:hAnsi="Calibri" w:cs="Times New Roman"/>
          <w:cs/>
        </w:rPr>
        <w:t xml:space="preserve">№ </w:t>
      </w:r>
      <w:r w:rsidRPr="00157D72">
        <w:rPr>
          <w:rStyle w:val="Normal"/>
          <w:rFonts w:ascii="Calibri" w:hAnsi="Calibri" w:cs="Times New Roman"/>
        </w:rPr>
        <w:t>57818/09, 7 февруари 2017 г., по параграф</w:t>
      </w:r>
      <w:r w:rsidRPr="00157D72">
        <w:rPr>
          <w:rStyle w:val="Normal"/>
          <w:rFonts w:ascii="Calibri" w:hAnsi="Calibri" w:cs="Times New Roman"/>
          <w:color w:val="000000"/>
        </w:rPr>
        <w:t xml:space="preserve"> 434; в този случай Съдът реши, че е допустима обща забрана </w:t>
      </w:r>
      <w:r w:rsidR="00B942A0" w:rsidRPr="00157D72">
        <w:rPr>
          <w:rStyle w:val="Normal"/>
          <w:rFonts w:ascii="Calibri" w:hAnsi="Calibri" w:cs="Times New Roman"/>
          <w:color w:val="000000"/>
        </w:rPr>
        <w:t>н</w:t>
      </w:r>
      <w:r w:rsidRPr="00157D72">
        <w:rPr>
          <w:rStyle w:val="Normal"/>
          <w:rFonts w:ascii="Calibri" w:hAnsi="Calibri" w:cs="Times New Roman"/>
          <w:color w:val="000000"/>
        </w:rPr>
        <w:t>а демонстраци</w:t>
      </w:r>
      <w:r w:rsidR="00B942A0" w:rsidRPr="00157D72">
        <w:rPr>
          <w:rStyle w:val="Normal"/>
          <w:rFonts w:ascii="Calibri" w:hAnsi="Calibri" w:cs="Times New Roman"/>
          <w:color w:val="000000"/>
        </w:rPr>
        <w:t>и,</w:t>
      </w:r>
      <w:r w:rsidRPr="00157D72">
        <w:rPr>
          <w:rStyle w:val="Normal"/>
          <w:rFonts w:ascii="Calibri" w:hAnsi="Calibri" w:cs="Times New Roman"/>
          <w:color w:val="000000"/>
        </w:rPr>
        <w:t xml:space="preserve"> ако съществува реална опасност т</w:t>
      </w:r>
      <w:r w:rsidR="00B942A0" w:rsidRPr="00157D72">
        <w:rPr>
          <w:rStyle w:val="Normal"/>
          <w:rFonts w:ascii="Calibri" w:hAnsi="Calibri" w:cs="Times New Roman"/>
          <w:color w:val="000000"/>
        </w:rPr>
        <w:t>е</w:t>
      </w:r>
      <w:r w:rsidRPr="00157D72">
        <w:rPr>
          <w:rStyle w:val="Normal"/>
          <w:rFonts w:ascii="Calibri" w:hAnsi="Calibri" w:cs="Times New Roman"/>
          <w:color w:val="000000"/>
        </w:rPr>
        <w:t xml:space="preserve"> да довед</w:t>
      </w:r>
      <w:r w:rsidR="00B942A0" w:rsidRPr="00157D72">
        <w:rPr>
          <w:rStyle w:val="Normal"/>
          <w:rFonts w:ascii="Calibri" w:hAnsi="Calibri" w:cs="Times New Roman"/>
          <w:color w:val="000000"/>
        </w:rPr>
        <w:t>ат</w:t>
      </w:r>
      <w:r w:rsidRPr="00157D72">
        <w:rPr>
          <w:rStyle w:val="Normal"/>
          <w:rFonts w:ascii="Calibri" w:hAnsi="Calibri" w:cs="Times New Roman"/>
          <w:color w:val="000000"/>
        </w:rPr>
        <w:t xml:space="preserve"> до разстройство, което не може да бъде предотвратено с други</w:t>
      </w:r>
      <w:r w:rsidRPr="00157D72">
        <w:rPr>
          <w:rStyle w:val="Normal"/>
          <w:rFonts w:ascii="Calibri" w:hAnsi="Calibri"/>
          <w:color w:val="000000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>по-строги мерки, и ако съображенията за сигурност, за които се отнася</w:t>
      </w:r>
      <w:r w:rsidR="00B942A0" w:rsidRPr="00157D72">
        <w:rPr>
          <w:rStyle w:val="Normal"/>
          <w:rFonts w:ascii="Calibri" w:hAnsi="Calibri" w:cs="Times New Roman"/>
          <w:color w:val="000000"/>
        </w:rPr>
        <w:t>, ясно надви</w:t>
      </w:r>
      <w:r w:rsidR="00757328" w:rsidRPr="00157D72">
        <w:rPr>
          <w:rStyle w:val="Normal"/>
          <w:rFonts w:ascii="Calibri" w:hAnsi="Calibri" w:cs="Times New Roman"/>
          <w:color w:val="000000"/>
        </w:rPr>
        <w:t>ш</w:t>
      </w:r>
      <w:r w:rsidR="00B942A0" w:rsidRPr="00157D72">
        <w:rPr>
          <w:rStyle w:val="Normal"/>
          <w:rFonts w:ascii="Calibri" w:hAnsi="Calibri" w:cs="Times New Roman"/>
          <w:color w:val="000000"/>
        </w:rPr>
        <w:t>ават недостатък</w:t>
      </w:r>
      <w:r w:rsidR="00757328" w:rsidRPr="00157D72">
        <w:rPr>
          <w:rStyle w:val="Normal"/>
          <w:rFonts w:ascii="Calibri" w:hAnsi="Calibri" w:cs="Times New Roman"/>
          <w:color w:val="000000"/>
        </w:rPr>
        <w:t>а</w:t>
      </w:r>
      <w:r w:rsidR="00B942A0" w:rsidRPr="00157D72">
        <w:rPr>
          <w:rStyle w:val="Normal"/>
          <w:rFonts w:ascii="Calibri" w:hAnsi="Calibri" w:cs="Times New Roman"/>
          <w:color w:val="000000"/>
        </w:rPr>
        <w:t xml:space="preserve"> от въздействието на</w:t>
      </w:r>
      <w:r w:rsidR="00757328" w:rsidRPr="00157D72">
        <w:rPr>
          <w:rStyle w:val="Normal"/>
          <w:rFonts w:ascii="Calibri" w:hAnsi="Calibri" w:cs="Times New Roman"/>
          <w:color w:val="000000"/>
        </w:rPr>
        <w:t xml:space="preserve"> забраната върху демонстрациите</w:t>
      </w:r>
      <w:r w:rsidRPr="00157D72">
        <w:rPr>
          <w:rStyle w:val="Normal"/>
          <w:rFonts w:ascii="Calibri" w:hAnsi="Calibri" w:cs="Times New Roman"/>
          <w:color w:val="000000"/>
        </w:rPr>
        <w:t>.</w:t>
      </w:r>
    </w:p>
  </w:footnote>
  <w:footnote w:id="23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</w:t>
      </w:r>
      <w:r w:rsidRPr="00157D72">
        <w:rPr>
          <w:rStyle w:val="FootnoteText"/>
          <w:rFonts w:ascii="Calibri" w:hAnsi="Calibri" w:cs="Times New Roman"/>
          <w:color w:val="000000"/>
        </w:rPr>
        <w:t>Виж Съвета на Европа</w:t>
      </w:r>
      <w:hyperlink r:id="rId8" w:history="1">
        <w:r w:rsidRPr="00157D72">
          <w:rPr>
            <w:rStyle w:val="FootnoteText"/>
            <w:rFonts w:ascii="Calibri" w:hAnsi="Calibri" w:cs="Times New Roman"/>
            <w:color w:val="0066CC"/>
            <w:u w:val="single"/>
          </w:rPr>
          <w:t xml:space="preserve"> </w:t>
        </w:r>
        <w:r w:rsidR="00757328" w:rsidRPr="00157D72">
          <w:rPr>
            <w:rStyle w:val="FootnoteText"/>
            <w:rFonts w:ascii="Calibri" w:hAnsi="Calibri" w:cs="Times New Roman"/>
            <w:color w:val="0066CC"/>
            <w:u w:val="single"/>
          </w:rPr>
          <w:t>Насоки за защита на свободата на изразяване и информация в условията на криза</w:t>
        </w:r>
        <w:r w:rsidRPr="00157D72">
          <w:rPr>
            <w:rStyle w:val="FootnoteText"/>
            <w:rFonts w:ascii="Calibri" w:hAnsi="Calibri" w:cs="Times New Roman"/>
            <w:color w:val="0066CC"/>
            <w:u w:val="single"/>
          </w:rPr>
          <w:t>.</w:t>
        </w:r>
      </w:hyperlink>
    </w:p>
  </w:footnote>
  <w:footnote w:id="24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Виж например Магяр Хелзинки [GC], параграфи</w:t>
      </w:r>
      <w:r w:rsidRPr="00157D72">
        <w:rPr>
          <w:rStyle w:val="FootnoteText"/>
          <w:rFonts w:ascii="Calibri" w:hAnsi="Calibri" w:cs="Times New Roman"/>
          <w:color w:val="000000"/>
        </w:rPr>
        <w:t xml:space="preserve"> 156-170).</w:t>
      </w:r>
    </w:p>
  </w:footnote>
  <w:footnote w:id="25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</w:t>
      </w:r>
      <w:r w:rsidRPr="00157D72">
        <w:rPr>
          <w:rStyle w:val="FootnoteText"/>
          <w:rFonts w:ascii="Calibri" w:hAnsi="Calibri" w:cs="Times New Roman"/>
          <w:i/>
          <w:color w:val="000000"/>
        </w:rPr>
        <w:t xml:space="preserve">Кумпана Мазаре </w:t>
      </w:r>
      <w:r w:rsidRPr="00157D72">
        <w:rPr>
          <w:rStyle w:val="FootnoteText"/>
          <w:rFonts w:ascii="Calibri" w:hAnsi="Calibri" w:cs="Times New Roman"/>
          <w:color w:val="000000"/>
        </w:rPr>
        <w:t>[GC], параграф 118.</w:t>
      </w:r>
    </w:p>
  </w:footnote>
  <w:footnote w:id="26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</w:t>
      </w:r>
      <w:hyperlink r:id="rId9" w:history="1">
        <w:r w:rsidRPr="00157D72">
          <w:rPr>
            <w:rStyle w:val="FootnoteText"/>
            <w:rFonts w:ascii="Calibri" w:hAnsi="Calibri" w:cs="Times New Roman"/>
            <w:color w:val="0066CC"/>
            <w:u w:val="single"/>
          </w:rPr>
          <w:t xml:space="preserve"> https://www.bbc.com/news/world-asia-china-51403795</w:t>
        </w:r>
      </w:hyperlink>
    </w:p>
  </w:footnote>
  <w:footnote w:id="27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  <w:szCs w:val="24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>Виж Съвета на Европа</w:t>
      </w:r>
      <w:r w:rsidR="00757328" w:rsidRPr="00157D72">
        <w:rPr>
          <w:rFonts w:ascii="Calibri" w:hAnsi="Calibri"/>
        </w:rPr>
        <w:t xml:space="preserve"> </w:t>
      </w:r>
      <w:r w:rsidR="00757328" w:rsidRPr="00157D72">
        <w:rPr>
          <w:rStyle w:val="Normal"/>
          <w:rFonts w:ascii="Calibri" w:hAnsi="Calibri" w:cs="Times New Roman"/>
          <w:color w:val="0066CC"/>
          <w:u w:val="single"/>
        </w:rPr>
        <w:t>Насоки за защита на свободата на изразяване и информация в условията на криза.</w:t>
      </w:r>
    </w:p>
  </w:footnote>
  <w:footnote w:id="28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  <w:szCs w:val="24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 xml:space="preserve">Модернизирана конвенция за защита на лицата по отношение на обработването на лични данни (CETS 223): </w:t>
      </w:r>
      <w:hyperlink r:id="rId10" w:history="1"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>https://search.coe.int/cm/Pages/result_details.aspx?ObjectId=09000016807c65bf</w:t>
        </w:r>
      </w:hyperlink>
    </w:p>
  </w:footnote>
  <w:footnote w:id="29">
    <w:p w:rsidR="00FD0718" w:rsidRPr="004969B9" w:rsidRDefault="00FD0718" w:rsidP="00ED6B8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>Специалната комисия по изкуствен интелект, CAHAI</w:t>
      </w:r>
    </w:p>
  </w:footnote>
  <w:footnote w:id="30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</w:t>
      </w:r>
      <w:r w:rsidRPr="00157D72">
        <w:rPr>
          <w:rStyle w:val="FootnoteText"/>
          <w:rFonts w:ascii="Calibri" w:hAnsi="Calibri" w:cs="Times New Roman"/>
          <w:color w:val="000000"/>
        </w:rPr>
        <w:t xml:space="preserve">ECtHR, </w:t>
      </w:r>
      <w:r w:rsidRPr="00157D72">
        <w:rPr>
          <w:rStyle w:val="FootnoteText"/>
          <w:rFonts w:ascii="Calibri" w:hAnsi="Calibri" w:cs="Times New Roman"/>
          <w:i/>
          <w:color w:val="000000"/>
        </w:rPr>
        <w:t xml:space="preserve">А. и други срещу Обединеното кралство </w:t>
      </w:r>
      <w:r w:rsidRPr="00157D72">
        <w:rPr>
          <w:rStyle w:val="FootnoteText"/>
          <w:rFonts w:ascii="Calibri" w:hAnsi="Calibri" w:cs="Times New Roman"/>
          <w:color w:val="000000"/>
        </w:rPr>
        <w:t>(GC), 3455/05, 19 февруари 2009 г., параграфи 182-190.</w:t>
      </w:r>
    </w:p>
  </w:footnote>
  <w:footnote w:id="31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</w:t>
      </w:r>
      <w:r w:rsidRPr="00157D72">
        <w:rPr>
          <w:rStyle w:val="FootnoteText"/>
          <w:rFonts w:ascii="Calibri" w:hAnsi="Calibri" w:cs="Times New Roman"/>
          <w:color w:val="000000"/>
        </w:rPr>
        <w:t xml:space="preserve">ECtHR, </w:t>
      </w:r>
      <w:r w:rsidRPr="00157D72">
        <w:rPr>
          <w:rStyle w:val="FootnoteText"/>
          <w:rFonts w:ascii="Calibri" w:hAnsi="Calibri" w:cs="Times New Roman"/>
          <w:i/>
          <w:color w:val="000000"/>
        </w:rPr>
        <w:t xml:space="preserve">Кипър срещу Турция </w:t>
      </w:r>
      <w:r w:rsidRPr="00157D72">
        <w:rPr>
          <w:rStyle w:val="FootnoteText"/>
          <w:rFonts w:ascii="Calibri" w:hAnsi="Calibri" w:cs="Times New Roman"/>
          <w:color w:val="000000"/>
        </w:rPr>
        <w:t>(GC), 25781/94, 10 май 2001 г., параграфи 312-315.</w:t>
      </w:r>
    </w:p>
  </w:footnote>
  <w:footnote w:id="32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</w:t>
      </w:r>
      <w:r w:rsidRPr="00157D72">
        <w:rPr>
          <w:rStyle w:val="FootnoteText"/>
          <w:rFonts w:ascii="Calibri" w:hAnsi="Calibri" w:cs="Times New Roman"/>
          <w:color w:val="000000"/>
        </w:rPr>
        <w:t xml:space="preserve">Вижте, например, ECtHR, </w:t>
      </w:r>
      <w:r w:rsidRPr="00157D72">
        <w:rPr>
          <w:rStyle w:val="FootnoteText"/>
          <w:rFonts w:ascii="Calibri" w:hAnsi="Calibri" w:cs="Times New Roman"/>
          <w:i/>
          <w:color w:val="000000"/>
        </w:rPr>
        <w:t>Хорват и Кис срещу Унгария</w:t>
      </w:r>
      <w:r w:rsidRPr="00157D72">
        <w:rPr>
          <w:rStyle w:val="FootnoteText"/>
          <w:rFonts w:ascii="Calibri" w:hAnsi="Calibri" w:cs="Times New Roman"/>
          <w:color w:val="000000"/>
        </w:rPr>
        <w:t>, 11146/11, 29 януари 2013 г.</w:t>
      </w:r>
    </w:p>
  </w:footnote>
  <w:footnote w:id="33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</w:t>
      </w:r>
      <w:r w:rsidRPr="00157D72">
        <w:rPr>
          <w:rStyle w:val="FootnoteText"/>
          <w:rFonts w:ascii="Calibri" w:hAnsi="Calibri" w:cs="Times New Roman"/>
          <w:color w:val="000000"/>
        </w:rPr>
        <w:t xml:space="preserve">ECtHR, </w:t>
      </w:r>
      <w:r w:rsidRPr="00157D72">
        <w:rPr>
          <w:rStyle w:val="FootnoteText"/>
          <w:rFonts w:ascii="Calibri" w:hAnsi="Calibri" w:cs="Times New Roman"/>
          <w:i/>
          <w:color w:val="000000"/>
        </w:rPr>
        <w:t>Хорват и Кис срещу Унгария</w:t>
      </w:r>
      <w:r w:rsidRPr="00157D72">
        <w:rPr>
          <w:rStyle w:val="FootnoteText"/>
          <w:rFonts w:ascii="Calibri" w:hAnsi="Calibri" w:cs="Times New Roman"/>
          <w:color w:val="000000"/>
        </w:rPr>
        <w:t xml:space="preserve">, 11146/11, 29 януари 2013 г., параграф 116; ECtHR, Кам срещу Турция, 51500/08, 23 февруари 2016 г. Вижте също Обяснителния доклад на Протокол </w:t>
      </w:r>
      <w:r w:rsidRPr="00157D72">
        <w:rPr>
          <w:rStyle w:val="FootnoteText"/>
          <w:rFonts w:ascii="Calibri" w:hAnsi="Calibri" w:cs="Times New Roman"/>
          <w:color w:val="000000"/>
          <w:cs/>
        </w:rPr>
        <w:t xml:space="preserve">№ </w:t>
      </w:r>
      <w:r w:rsidRPr="00157D72">
        <w:rPr>
          <w:rStyle w:val="FootnoteText"/>
          <w:rFonts w:ascii="Calibri" w:hAnsi="Calibri" w:cs="Times New Roman"/>
          <w:color w:val="000000"/>
        </w:rPr>
        <w:t>12 от Конвенцията.</w:t>
      </w:r>
    </w:p>
  </w:footnote>
  <w:footnote w:id="34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  <w:szCs w:val="24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 xml:space="preserve">За Европейския комитет по социални права (ECSR) дискриминацията може да бъде резултат от неспазване и положително отчитане на всички съответни различия между лицата в сравнима ситуация или от непредприемане на адекватни стъпки за гарантиране на открити права и колективни предимства, които наистина да са достъпни за всички. </w:t>
      </w:r>
      <w:r w:rsidRPr="00157D72">
        <w:rPr>
          <w:rStyle w:val="Normal"/>
          <w:rFonts w:ascii="Calibri" w:hAnsi="Calibri" w:cs="Times New Roman"/>
        </w:rPr>
        <w:t xml:space="preserve">Вижте, например ECSR, Confederazione Generale Italiana del Lavoro (CGIL) срещу Италия, жалба </w:t>
      </w:r>
      <w:r w:rsidRPr="00157D72">
        <w:rPr>
          <w:rStyle w:val="Normal"/>
          <w:rFonts w:ascii="Calibri" w:hAnsi="Calibri" w:cs="Times New Roman"/>
          <w:cs/>
        </w:rPr>
        <w:t xml:space="preserve">№ </w:t>
      </w:r>
      <w:r w:rsidRPr="00157D72">
        <w:rPr>
          <w:rStyle w:val="Normal"/>
          <w:rFonts w:ascii="Calibri" w:hAnsi="Calibri" w:cs="Times New Roman"/>
        </w:rPr>
        <w:t xml:space="preserve">91/2013, 12 октомври 2015 г., параграф 237; ECSR, Confédération française démocratique du travail (CFDT) срещу Франция, жалба </w:t>
      </w:r>
      <w:r w:rsidRPr="00157D72">
        <w:rPr>
          <w:rStyle w:val="Normal"/>
          <w:rFonts w:ascii="Calibri" w:hAnsi="Calibri" w:cs="Times New Roman"/>
          <w:cs/>
        </w:rPr>
        <w:t xml:space="preserve">№ </w:t>
      </w:r>
      <w:r w:rsidRPr="00157D72">
        <w:rPr>
          <w:rStyle w:val="Normal"/>
          <w:rFonts w:ascii="Calibri" w:hAnsi="Calibri" w:cs="Times New Roman"/>
        </w:rPr>
        <w:t>50/2008, решение по същество от 9 септември 2009 г., параграфи 39 и 41.</w:t>
      </w:r>
    </w:p>
  </w:footnote>
  <w:footnote w:id="35">
    <w:p w:rsidR="00FD0718" w:rsidRPr="00ED6B82" w:rsidRDefault="00FD0718" w:rsidP="00ED6B8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</w:t>
      </w:r>
      <w:r w:rsidRPr="00157D72">
        <w:rPr>
          <w:rStyle w:val="Normal"/>
          <w:rFonts w:ascii="Calibri" w:hAnsi="Calibri" w:cs="Times New Roman"/>
          <w:color w:val="000000"/>
        </w:rPr>
        <w:t>Изследването се подготвя от Секретариата на новия Управителен комитет за борба с дискриминацията, многообразието и приобщаването (CDADI) за разглеждане на първото заседание на CDADI. На неговия уебсайт скоро ще бъде публикувана уводна бележка.</w:t>
      </w:r>
    </w:p>
  </w:footnote>
  <w:footnote w:id="36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Конвенция на Съвета на Европа за предотвратяване и борба с насилието над жени и домашното насилие, CETS </w:t>
      </w:r>
      <w:r w:rsidRPr="00157D72">
        <w:rPr>
          <w:rStyle w:val="Normal"/>
          <w:rFonts w:ascii="Calibri" w:hAnsi="Calibri" w:cs="Times New Roman"/>
          <w:cs/>
        </w:rPr>
        <w:t xml:space="preserve">№ </w:t>
      </w:r>
      <w:r w:rsidRPr="00157D72">
        <w:rPr>
          <w:rStyle w:val="Normal"/>
          <w:rFonts w:ascii="Calibri" w:hAnsi="Calibri" w:cs="Times New Roman"/>
        </w:rPr>
        <w:t>2010, Истанбул, 11 май 2011 г.:</w:t>
      </w:r>
      <w:hyperlink r:id="rId11" w:history="1"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 xml:space="preserve"> https://www.coe.int/conventions/treaty/210</w:t>
        </w:r>
      </w:hyperlink>
    </w:p>
  </w:footnote>
  <w:footnote w:id="37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Виж изявлението на </w:t>
      </w:r>
      <w:r w:rsidR="0060640F" w:rsidRPr="00157D72">
        <w:rPr>
          <w:rStyle w:val="Normal"/>
          <w:rFonts w:ascii="Calibri" w:hAnsi="Calibri" w:cs="Times New Roman"/>
        </w:rPr>
        <w:t>Г</w:t>
      </w:r>
      <w:r w:rsidRPr="00157D72">
        <w:rPr>
          <w:rStyle w:val="Normal"/>
          <w:rFonts w:ascii="Calibri" w:hAnsi="Calibri" w:cs="Times New Roman"/>
        </w:rPr>
        <w:t>енералния секретар на Съвета на Европа от 30 март 2020 г.</w:t>
      </w:r>
      <w:r w:rsidRPr="00157D72">
        <w:rPr>
          <w:rStyle w:val="Normal"/>
          <w:rFonts w:ascii="Calibri" w:hAnsi="Calibri" w:cs="Times New Roman"/>
          <w:color w:val="000000"/>
        </w:rPr>
        <w:t xml:space="preserve"> </w:t>
      </w:r>
      <w:hyperlink r:id="rId12" w:history="1"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>(https://www.coe.int/en/web/portal/-/covid-19-crisis-secretary-general-concerned-about-increased-risk-of-domestic-violence)</w:t>
        </w:r>
      </w:hyperlink>
      <w:r w:rsidRPr="00157D72">
        <w:rPr>
          <w:rStyle w:val="Normal"/>
          <w:rFonts w:ascii="Calibri" w:hAnsi="Calibri" w:cs="Times New Roman"/>
          <w:color w:val="000000"/>
        </w:rPr>
        <w:t xml:space="preserve"> и изявлението на президента на GREVIO от 24 март 2020 г.:</w:t>
      </w:r>
      <w:hyperlink r:id="rId13" w:history="1"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 xml:space="preserve"> https://rm.coe.int/grevio-statement-covid-24-march-2020/pdfa/16809cf55e</w:t>
        </w:r>
      </w:hyperlink>
    </w:p>
  </w:footnote>
  <w:footnote w:id="38">
    <w:p w:rsidR="00FD0718" w:rsidRPr="00157D72" w:rsidRDefault="00FD0718" w:rsidP="00ED6B82">
      <w:pPr>
        <w:pStyle w:val="FootnoteText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Изявление на председателя на Комитета </w:t>
      </w:r>
      <w:r w:rsidR="0070571F" w:rsidRPr="00157D72">
        <w:rPr>
          <w:rStyle w:val="FootnoteText"/>
          <w:rFonts w:ascii="Calibri" w:hAnsi="Calibri" w:cs="Times New Roman"/>
        </w:rPr>
        <w:t>от Ланз</w:t>
      </w:r>
      <w:r w:rsidRPr="00157D72">
        <w:rPr>
          <w:rStyle w:val="FootnoteText"/>
          <w:rFonts w:ascii="Calibri" w:hAnsi="Calibri" w:cs="Times New Roman"/>
        </w:rPr>
        <w:t>ароте и изявление на заместник-председателя:</w:t>
      </w:r>
      <w:hyperlink r:id="rId14" w:history="1">
        <w:r w:rsidRPr="00157D72">
          <w:rPr>
            <w:rStyle w:val="FootnoteText"/>
            <w:rFonts w:ascii="Calibri" w:hAnsi="Calibri" w:cs="Times New Roman"/>
            <w:color w:val="0066CC"/>
            <w:u w:val="single"/>
          </w:rPr>
          <w:t xml:space="preserve"> https://rm.coe.int/covid-19-lc-statement-en-final/16809e17ae</w:t>
        </w:r>
      </w:hyperlink>
    </w:p>
  </w:footnote>
  <w:footnote w:id="39">
    <w:p w:rsidR="00FD0718" w:rsidRPr="004969B9" w:rsidRDefault="00FD0718" w:rsidP="00ED6B82">
      <w:pPr>
        <w:pStyle w:val="FootnoteText"/>
        <w:jc w:val="both"/>
        <w:rPr>
          <w:rFonts w:ascii="Times New Roman" w:hAnsi="Times New Roman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FootnoteText"/>
          <w:rFonts w:ascii="Calibri" w:hAnsi="Calibri" w:cs="Times New Roman"/>
        </w:rPr>
        <w:t xml:space="preserve"> </w:t>
      </w:r>
      <w:r w:rsidRPr="00157D72">
        <w:rPr>
          <w:rStyle w:val="FootnoteText"/>
          <w:rFonts w:ascii="Calibri" w:hAnsi="Calibri" w:cs="Times New Roman"/>
          <w:color w:val="000000"/>
        </w:rPr>
        <w:t>Виж изявлението на GRETA от 3 април 2020 г.</w:t>
      </w:r>
    </w:p>
  </w:footnote>
  <w:footnote w:id="40">
    <w:p w:rsidR="00FD0718" w:rsidRPr="00157D72" w:rsidRDefault="00FD0718" w:rsidP="00ED6B82">
      <w:pPr>
        <w:shd w:val="clear" w:color="auto" w:fill="FFFFFF"/>
        <w:spacing w:line="276" w:lineRule="auto"/>
        <w:jc w:val="both"/>
        <w:rPr>
          <w:rFonts w:ascii="Calibri" w:hAnsi="Calibri" w:cs="Times New Roman"/>
        </w:rPr>
      </w:pPr>
      <w:r w:rsidRPr="00157D72">
        <w:rPr>
          <w:rStyle w:val="FootnoteReference"/>
          <w:rFonts w:ascii="Calibri" w:hAnsi="Calibri" w:cs="Times New Roman"/>
        </w:rPr>
        <w:footnoteRef/>
      </w:r>
      <w:r w:rsidRPr="00157D72">
        <w:rPr>
          <w:rStyle w:val="Normal"/>
          <w:rFonts w:ascii="Calibri" w:hAnsi="Calibri" w:cs="Times New Roman"/>
        </w:rPr>
        <w:t xml:space="preserve"> Комитетът на страните по Конвенцията MEDICRIME ще предлага съвети относно прилагането на Конвенцията в контекста на COVID-19</w:t>
      </w:r>
      <w:r w:rsidRPr="00157D72">
        <w:rPr>
          <w:rStyle w:val="Normal"/>
          <w:rFonts w:ascii="Calibri" w:hAnsi="Calibri" w:cs="Times New Roman"/>
          <w:color w:val="000000"/>
        </w:rPr>
        <w:t xml:space="preserve"> </w:t>
      </w:r>
      <w:hyperlink r:id="rId15" w:history="1">
        <w:r w:rsidRPr="00157D72">
          <w:rPr>
            <w:rStyle w:val="Normal"/>
            <w:rFonts w:ascii="Calibri" w:hAnsi="Calibri" w:cs="Times New Roman"/>
            <w:color w:val="0066CC"/>
            <w:u w:val="single"/>
          </w:rPr>
          <w:t>(https://www.coe.int/en/web/medicrime/home)</w:t>
        </w:r>
      </w:hyperlink>
    </w:p>
    <w:p w:rsidR="00FD0718" w:rsidRPr="004969B9" w:rsidRDefault="00FD0718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870" w:rsidRDefault="00B65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71F" w:rsidRDefault="0070571F" w:rsidP="0070571F">
    <w:pPr>
      <w:pStyle w:val="Header"/>
      <w:tabs>
        <w:tab w:val="left" w:pos="460"/>
        <w:tab w:val="right" w:pos="9187"/>
      </w:tabs>
    </w:pPr>
    <w:r>
      <w:tab/>
    </w:r>
    <w:r w:rsidRPr="0070571F">
      <w:rPr>
        <w:rStyle w:val="Normal"/>
        <w:rFonts w:ascii="Calibri" w:hAnsi="Calibri" w:cs="Calibri"/>
        <w:color w:val="000000"/>
        <w:szCs w:val="24"/>
      </w:rPr>
      <w:t>SG/Inf(2020)11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4294D">
      <w:rPr>
        <w:noProof/>
      </w:rPr>
      <w:t>4</w:t>
    </w:r>
    <w:r>
      <w:rPr>
        <w:noProof/>
      </w:rPr>
      <w:fldChar w:fldCharType="end"/>
    </w:r>
  </w:p>
  <w:p w:rsidR="0070571F" w:rsidRDefault="00705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870" w:rsidRDefault="00B658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24"/>
    <w:rsid w:val="00031959"/>
    <w:rsid w:val="000654C9"/>
    <w:rsid w:val="001276DD"/>
    <w:rsid w:val="00157D72"/>
    <w:rsid w:val="001C7A7F"/>
    <w:rsid w:val="001D2F18"/>
    <w:rsid w:val="002104D4"/>
    <w:rsid w:val="00435E72"/>
    <w:rsid w:val="0044332F"/>
    <w:rsid w:val="004E2C00"/>
    <w:rsid w:val="005465CE"/>
    <w:rsid w:val="005500CF"/>
    <w:rsid w:val="005D40CB"/>
    <w:rsid w:val="005D562F"/>
    <w:rsid w:val="0060640F"/>
    <w:rsid w:val="00610210"/>
    <w:rsid w:val="0063462A"/>
    <w:rsid w:val="00667B4C"/>
    <w:rsid w:val="00696152"/>
    <w:rsid w:val="006D1E31"/>
    <w:rsid w:val="0070571F"/>
    <w:rsid w:val="00713D8A"/>
    <w:rsid w:val="007173EE"/>
    <w:rsid w:val="0075009F"/>
    <w:rsid w:val="00757328"/>
    <w:rsid w:val="007B6088"/>
    <w:rsid w:val="008401FB"/>
    <w:rsid w:val="008854E6"/>
    <w:rsid w:val="00931D3F"/>
    <w:rsid w:val="0094294D"/>
    <w:rsid w:val="00996473"/>
    <w:rsid w:val="00B65870"/>
    <w:rsid w:val="00B90E29"/>
    <w:rsid w:val="00B942A0"/>
    <w:rsid w:val="00C74A99"/>
    <w:rsid w:val="00CF7A87"/>
    <w:rsid w:val="00D60D10"/>
    <w:rsid w:val="00D61702"/>
    <w:rsid w:val="00D810C9"/>
    <w:rsid w:val="00DC3AEB"/>
    <w:rsid w:val="00E64E14"/>
    <w:rsid w:val="00ED6B82"/>
    <w:rsid w:val="00F5249B"/>
    <w:rsid w:val="00FB63EE"/>
    <w:rsid w:val="00FC0F3E"/>
    <w:rsid w:val="00FD0718"/>
    <w:rsid w:val="00FD45C9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83632EC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5536B"/>
  </w:style>
  <w:style w:type="character" w:customStyle="1" w:styleId="FootnoteTextChar">
    <w:name w:val="Footnote Text Char"/>
    <w:link w:val="FootnoteText"/>
    <w:uiPriority w:val="99"/>
    <w:semiHidden/>
    <w:rsid w:val="00D5536B"/>
    <w:rPr>
      <w:rFonts w:ascii="Arial" w:hAnsi="Arial" w:cs="Arial"/>
      <w:lang w:val="bg-BG" w:eastAsia="bg-BG"/>
    </w:rPr>
  </w:style>
  <w:style w:type="character" w:styleId="FootnoteReference">
    <w:name w:val="footnote reference"/>
    <w:uiPriority w:val="99"/>
    <w:semiHidden/>
    <w:unhideWhenUsed/>
    <w:rsid w:val="00D5536B"/>
    <w:rPr>
      <w:vertAlign w:val="superscript"/>
      <w:lang w:val="bg-BG" w:eastAsia="bg-BG"/>
    </w:rPr>
  </w:style>
  <w:style w:type="table" w:styleId="TableGrid">
    <w:name w:val="Table Grid"/>
    <w:basedOn w:val="TableNormal"/>
    <w:uiPriority w:val="59"/>
    <w:rsid w:val="00CF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571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0571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571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0571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onventions/full-list/-/conventions/webContent/62111354" TargetMode="External"/><Relationship Id="rId13" Type="http://schemas.openxmlformats.org/officeDocument/2006/relationships/hyperlink" Target="https://www.coe.int/fr/web/conventions/full-list/-/conventions/treaty/205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www.coe.int/en/web/conventions/full-list/-/conventions/treaty/16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arch.coe.int/cm/Pages/result_details.aspx?ObjectId=09000016805c649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oe.int/en/web/commissioner/-/covid-19-pandemic-urgent-steps-are-needed-to-protect-the-rights-of-prisoners-in-europe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coe.int/en/web/cpt/-/covid-19-council-of-europe-anti-torture-committee-issues-statement-of-principles-relating-to-the-treatment-of-persons-deprived-of-their-liberty-" TargetMode="External"/><Relationship Id="rId14" Type="http://schemas.openxmlformats.org/officeDocument/2006/relationships/hyperlink" Target="http://search.coe.int/cm/Pages/result_details.aspx?ObjectId=09000016805c5ea5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coe.int/cm/Pages/result_details.aspx?ObjectID=09000016805ae60e" TargetMode="External"/><Relationship Id="rId13" Type="http://schemas.openxmlformats.org/officeDocument/2006/relationships/hyperlink" Target="https://rm.coe.int/grevio-statement-covid-24-march-2020/pdfa/16809cf55e" TargetMode="External"/><Relationship Id="rId3" Type="http://schemas.openxmlformats.org/officeDocument/2006/relationships/hyperlink" Target="https://www.venice.coe.int/webforms/documents/?pdf=CDL-AD(2016)006-e" TargetMode="External"/><Relationship Id="rId7" Type="http://schemas.openxmlformats.org/officeDocument/2006/relationships/hyperlink" Target="https://www.coe.int/en/web/commissioner/thematic-work/covid-19/-/asset_publisher/5cdZW0AJBMLl/content/persons-with-disabilities-must-not-be-left-behind-in-the-response-to-the-covid-19-pandemic?inheritRedirect=false&amp;redirect=https%3A%2F%2Fwww.coe.int%2Fen%2Fweb%2Fcommissioner%2Fthematic-work%2Fcovid-19%3Fp_p_id%3D101_INSTANCE_5cdZW0AJBMLl%26p_p_lifecycle%3D0%26p_p_state%3Dnormal%26p_p_mode%3Dview%26p_p_col_id%3Dcolumn-1%26p_p_col_count%3D1" TargetMode="External"/><Relationship Id="rId12" Type="http://schemas.openxmlformats.org/officeDocument/2006/relationships/hyperlink" Target="https://www.coe.int/en/web/portal/-/covid-19-crisis-secretary-general-concerned-about-increased-risk-of-domestic-violence" TargetMode="External"/><Relationship Id="rId2" Type="http://schemas.openxmlformats.org/officeDocument/2006/relationships/hyperlink" Target="https://www.venice.coe.int/webforms/documents/?pdf=CDL-AD(2019)015-e" TargetMode="External"/><Relationship Id="rId1" Type="http://schemas.openxmlformats.org/officeDocument/2006/relationships/hyperlink" Target="https://rm.coe.int/opinion-of-the-council-of-europe-commissioner-for-human-rights-alvaro-/16806da6c9" TargetMode="External"/><Relationship Id="rId6" Type="http://schemas.openxmlformats.org/officeDocument/2006/relationships/hyperlink" Target="https://www.coe.int/en/web/commissioner/thematic-work/covid-19/-/asset_publisher/5cdZW0AJBMLl/content/older-persons-need-more-support-than-ever-in-the-age-of-the-covid-19-pandemic?inheritRedirect=false&amp;redirect=https%3A%2F%2Fwww.coe.int%2Fen%2Fweb%2Fcommissioner%2Fthematic-work%2Fcovid-19%3Fp_p_id%3D101_INSTANCE_5cdZW0AJBMLl%26p_p_lifecycle%3D0%26p_p_state%3Dnormal%26p_p_mode%3Dview%26p_p_col_id%3Dcolumn-1%26p_p_col_count%3D1" TargetMode="External"/><Relationship Id="rId11" Type="http://schemas.openxmlformats.org/officeDocument/2006/relationships/hyperlink" Target="https://www.coe.int/en/web/conventions/full-list/-/conventions/treaty/210" TargetMode="External"/><Relationship Id="rId5" Type="http://schemas.openxmlformats.org/officeDocument/2006/relationships/hyperlink" Target="https://www.venice.coe.int/webforms/documents/default.aspx?pdffile=CDL-AD(2016)037-e" TargetMode="External"/><Relationship Id="rId15" Type="http://schemas.openxmlformats.org/officeDocument/2006/relationships/hyperlink" Target="https://www.coe.int/en/web/medicrime/home" TargetMode="External"/><Relationship Id="rId10" Type="http://schemas.openxmlformats.org/officeDocument/2006/relationships/hyperlink" Target="https://search.coe.int/cm/Pages/result_details.aspx?ObjectId=09000016807c65bf" TargetMode="External"/><Relationship Id="rId4" Type="http://schemas.openxmlformats.org/officeDocument/2006/relationships/hyperlink" Target="https://www.coe.int/t/dc/files/Ministerial_Conferences/2009_justice/CM%20170_en.pdf" TargetMode="External"/><Relationship Id="rId9" Type="http://schemas.openxmlformats.org/officeDocument/2006/relationships/hyperlink" Target="https://www.bbc.com/news/world-asia-china-51403795" TargetMode="External"/><Relationship Id="rId14" Type="http://schemas.openxmlformats.org/officeDocument/2006/relationships/hyperlink" Target="https://rm.coe.int/covid-19-lc-statement-en-final/16809e17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F9BDA-9F75-454C-BF4C-1EABAAB0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4281</Words>
  <Characters>26663</Characters>
  <Application>Microsoft Office Word</Application>
  <DocSecurity>0</DocSecurity>
  <Lines>222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30883</CharactersWithSpaces>
  <SharedDoc>false</SharedDoc>
  <HLinks>
    <vt:vector size="132" baseType="variant">
      <vt:variant>
        <vt:i4>3932165</vt:i4>
      </vt:variant>
      <vt:variant>
        <vt:i4>18</vt:i4>
      </vt:variant>
      <vt:variant>
        <vt:i4>0</vt:i4>
      </vt:variant>
      <vt:variant>
        <vt:i4>5</vt:i4>
      </vt:variant>
      <vt:variant>
        <vt:lpwstr>http://search.coe.int/cm/Pages/result_details.aspx?ObjectId=09000016805c5ea5</vt:lpwstr>
      </vt:variant>
      <vt:variant>
        <vt:lpwstr/>
      </vt:variant>
      <vt:variant>
        <vt:i4>4325382</vt:i4>
      </vt:variant>
      <vt:variant>
        <vt:i4>15</vt:i4>
      </vt:variant>
      <vt:variant>
        <vt:i4>0</vt:i4>
      </vt:variant>
      <vt:variant>
        <vt:i4>5</vt:i4>
      </vt:variant>
      <vt:variant>
        <vt:lpwstr>https://www.coe.int/fr/web/conventions/full-list/-/conventions/treaty/205</vt:lpwstr>
      </vt:variant>
      <vt:variant>
        <vt:lpwstr/>
      </vt:variant>
      <vt:variant>
        <vt:i4>5767174</vt:i4>
      </vt:variant>
      <vt:variant>
        <vt:i4>12</vt:i4>
      </vt:variant>
      <vt:variant>
        <vt:i4>0</vt:i4>
      </vt:variant>
      <vt:variant>
        <vt:i4>5</vt:i4>
      </vt:variant>
      <vt:variant>
        <vt:lpwstr>https://www.coe.int/en/web/conventions/full-list/-/conventions/treaty/164</vt:lpwstr>
      </vt:variant>
      <vt:variant>
        <vt:lpwstr/>
      </vt:variant>
      <vt:variant>
        <vt:i4>4587571</vt:i4>
      </vt:variant>
      <vt:variant>
        <vt:i4>9</vt:i4>
      </vt:variant>
      <vt:variant>
        <vt:i4>0</vt:i4>
      </vt:variant>
      <vt:variant>
        <vt:i4>5</vt:i4>
      </vt:variant>
      <vt:variant>
        <vt:lpwstr>https://search.coe.int/cm/Pages/result_details.aspx?ObjectId=09000016805c649f</vt:lpwstr>
      </vt:variant>
      <vt:variant>
        <vt:lpwstr/>
      </vt:variant>
      <vt:variant>
        <vt:i4>4194315</vt:i4>
      </vt:variant>
      <vt:variant>
        <vt:i4>6</vt:i4>
      </vt:variant>
      <vt:variant>
        <vt:i4>0</vt:i4>
      </vt:variant>
      <vt:variant>
        <vt:i4>5</vt:i4>
      </vt:variant>
      <vt:variant>
        <vt:lpwstr>https://www.coe.int/en/web/commissioner/-/covid-19-pandemic-urgent-steps-are-needed-to-protect-the-rights-of-prisoners-in-europe</vt:lpwstr>
      </vt:variant>
      <vt:variant>
        <vt:lpwstr/>
      </vt:variant>
      <vt:variant>
        <vt:i4>5505091</vt:i4>
      </vt:variant>
      <vt:variant>
        <vt:i4>3</vt:i4>
      </vt:variant>
      <vt:variant>
        <vt:i4>0</vt:i4>
      </vt:variant>
      <vt:variant>
        <vt:i4>5</vt:i4>
      </vt:variant>
      <vt:variant>
        <vt:lpwstr>https://www.coe.int/en/web/cpt/-/covid-19-council-of-europe-anti-torture-committee-issues-statement-of-principles-relating-to-the-treatment-of-persons-deprived-of-their-liberty-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https://www.coe.int/en/web/conventions/full-list/-/conventions/webContent/62111354</vt:lpwstr>
      </vt:variant>
      <vt:variant>
        <vt:lpwstr/>
      </vt:variant>
      <vt:variant>
        <vt:i4>5242888</vt:i4>
      </vt:variant>
      <vt:variant>
        <vt:i4>42</vt:i4>
      </vt:variant>
      <vt:variant>
        <vt:i4>0</vt:i4>
      </vt:variant>
      <vt:variant>
        <vt:i4>5</vt:i4>
      </vt:variant>
      <vt:variant>
        <vt:lpwstr>https://www.coe.int/en/web/medicrime/home</vt:lpwstr>
      </vt:variant>
      <vt:variant>
        <vt:lpwstr/>
      </vt:variant>
      <vt:variant>
        <vt:i4>5308427</vt:i4>
      </vt:variant>
      <vt:variant>
        <vt:i4>39</vt:i4>
      </vt:variant>
      <vt:variant>
        <vt:i4>0</vt:i4>
      </vt:variant>
      <vt:variant>
        <vt:i4>5</vt:i4>
      </vt:variant>
      <vt:variant>
        <vt:lpwstr>https://rm.coe.int/covid-19-lc-statement-en-final/16809e17ae</vt:lpwstr>
      </vt:variant>
      <vt:variant>
        <vt:lpwstr/>
      </vt:variant>
      <vt:variant>
        <vt:i4>3014713</vt:i4>
      </vt:variant>
      <vt:variant>
        <vt:i4>36</vt:i4>
      </vt:variant>
      <vt:variant>
        <vt:i4>0</vt:i4>
      </vt:variant>
      <vt:variant>
        <vt:i4>5</vt:i4>
      </vt:variant>
      <vt:variant>
        <vt:lpwstr>https://rm.coe.int/grevio-statement-covid-24-march-2020/pdfa/16809cf55e</vt:lpwstr>
      </vt:variant>
      <vt:variant>
        <vt:lpwstr/>
      </vt:variant>
      <vt:variant>
        <vt:i4>458779</vt:i4>
      </vt:variant>
      <vt:variant>
        <vt:i4>33</vt:i4>
      </vt:variant>
      <vt:variant>
        <vt:i4>0</vt:i4>
      </vt:variant>
      <vt:variant>
        <vt:i4>5</vt:i4>
      </vt:variant>
      <vt:variant>
        <vt:lpwstr>https://www.coe.int/en/web/portal/-/covid-19-crisis-secretary-general-concerned-about-increased-risk-of-domestic-violence</vt:lpwstr>
      </vt:variant>
      <vt:variant>
        <vt:lpwstr/>
      </vt:variant>
      <vt:variant>
        <vt:i4>6225925</vt:i4>
      </vt:variant>
      <vt:variant>
        <vt:i4>30</vt:i4>
      </vt:variant>
      <vt:variant>
        <vt:i4>0</vt:i4>
      </vt:variant>
      <vt:variant>
        <vt:i4>5</vt:i4>
      </vt:variant>
      <vt:variant>
        <vt:lpwstr>https://www.coe.int/en/web/conventions/full-list/-/conventions/treaty/210</vt:lpwstr>
      </vt:variant>
      <vt:variant>
        <vt:lpwstr/>
      </vt:variant>
      <vt:variant>
        <vt:i4>2031666</vt:i4>
      </vt:variant>
      <vt:variant>
        <vt:i4>27</vt:i4>
      </vt:variant>
      <vt:variant>
        <vt:i4>0</vt:i4>
      </vt:variant>
      <vt:variant>
        <vt:i4>5</vt:i4>
      </vt:variant>
      <vt:variant>
        <vt:lpwstr>https://search.coe.int/cm/Pages/result_details.aspx?ObjectId=09000016807c65bf</vt:lpwstr>
      </vt:variant>
      <vt:variant>
        <vt:lpwstr/>
      </vt:variant>
      <vt:variant>
        <vt:i4>4063269</vt:i4>
      </vt:variant>
      <vt:variant>
        <vt:i4>24</vt:i4>
      </vt:variant>
      <vt:variant>
        <vt:i4>0</vt:i4>
      </vt:variant>
      <vt:variant>
        <vt:i4>5</vt:i4>
      </vt:variant>
      <vt:variant>
        <vt:lpwstr>https://www.bbc.com/news/world-asia-china-51403795</vt:lpwstr>
      </vt:variant>
      <vt:variant>
        <vt:lpwstr/>
      </vt:variant>
      <vt:variant>
        <vt:i4>1835059</vt:i4>
      </vt:variant>
      <vt:variant>
        <vt:i4>21</vt:i4>
      </vt:variant>
      <vt:variant>
        <vt:i4>0</vt:i4>
      </vt:variant>
      <vt:variant>
        <vt:i4>5</vt:i4>
      </vt:variant>
      <vt:variant>
        <vt:lpwstr>https://search.coe.int/cm/Pages/result_details.aspx?ObjectID=09000016805ae60e</vt:lpwstr>
      </vt:variant>
      <vt:variant>
        <vt:lpwstr/>
      </vt:variant>
      <vt:variant>
        <vt:i4>3211341</vt:i4>
      </vt:variant>
      <vt:variant>
        <vt:i4>18</vt:i4>
      </vt:variant>
      <vt:variant>
        <vt:i4>0</vt:i4>
      </vt:variant>
      <vt:variant>
        <vt:i4>5</vt:i4>
      </vt:variant>
      <vt:variant>
        <vt:lpwstr>https://www.coe.int/en/web/commissioner/thematic-work/covid-19/-/asset_publisher/5cdZW0AJBMLl/content/persons-with-disabilities-must-not-be-left-behind-in-the-response-to-the-covid-19-pandemic?inheritRedirect=false&amp;redirect=https%3A%2F%2Fwww.coe.int%2Fen%2Fweb%2Fcommissioner%2Fthematic-work%2Fcovid-19%3Fp_p_id%3D101_INSTANCE_5cdZW0AJBMLl%26p_p_lifecycle%3D0%26p_p_state%3Dnormal%26p_p_mode%3Dview%26p_p_col_id%3Dcolumn-1%26p_p_col_count%3D1</vt:lpwstr>
      </vt:variant>
      <vt:variant>
        <vt:lpwstr/>
      </vt:variant>
      <vt:variant>
        <vt:i4>3735571</vt:i4>
      </vt:variant>
      <vt:variant>
        <vt:i4>15</vt:i4>
      </vt:variant>
      <vt:variant>
        <vt:i4>0</vt:i4>
      </vt:variant>
      <vt:variant>
        <vt:i4>5</vt:i4>
      </vt:variant>
      <vt:variant>
        <vt:lpwstr>https://www.coe.int/en/web/commissioner/thematic-work/covid-19/-/asset_publisher/5cdZW0AJBMLl/content/older-persons-need-more-support-than-ever-in-the-age-of-the-covid-19-pandemic?inheritRedirect=false&amp;redirect=https%3A%2F%2Fwww.coe.int%2Fen%2Fweb%2Fcommissioner%2Fthematic-work%2Fcovid-19%3Fp_p_id%3D101_INSTANCE_5cdZW0AJBMLl%26p_p_lifecycle%3D0%26p_p_state%3Dnormal%26p_p_mode%3Dview%26p_p_col_id%3Dcolumn-1%26p_p_col_count%3D1</vt:lpwstr>
      </vt:variant>
      <vt:variant>
        <vt:lpwstr/>
      </vt:variant>
      <vt:variant>
        <vt:i4>5439495</vt:i4>
      </vt:variant>
      <vt:variant>
        <vt:i4>12</vt:i4>
      </vt:variant>
      <vt:variant>
        <vt:i4>0</vt:i4>
      </vt:variant>
      <vt:variant>
        <vt:i4>5</vt:i4>
      </vt:variant>
      <vt:variant>
        <vt:lpwstr>https://www.venice.coe.int/webforms/documents/default.aspx?pdffile=CDL-AD(2016)037-e</vt:lpwstr>
      </vt:variant>
      <vt:variant>
        <vt:lpwstr/>
      </vt:variant>
      <vt:variant>
        <vt:i4>2293769</vt:i4>
      </vt:variant>
      <vt:variant>
        <vt:i4>9</vt:i4>
      </vt:variant>
      <vt:variant>
        <vt:i4>0</vt:i4>
      </vt:variant>
      <vt:variant>
        <vt:i4>5</vt:i4>
      </vt:variant>
      <vt:variant>
        <vt:lpwstr>https://www.coe.int/t/dc/files/Ministerial_Conferences/2009_justice/CM 170_en.pdf</vt:lpwstr>
      </vt:variant>
      <vt:variant>
        <vt:lpwstr/>
      </vt:variant>
      <vt:variant>
        <vt:i4>1245212</vt:i4>
      </vt:variant>
      <vt:variant>
        <vt:i4>6</vt:i4>
      </vt:variant>
      <vt:variant>
        <vt:i4>0</vt:i4>
      </vt:variant>
      <vt:variant>
        <vt:i4>5</vt:i4>
      </vt:variant>
      <vt:variant>
        <vt:lpwstr>https://www.venice.coe.int/webforms/documents/?pdf=CDL-AD(2016)006-e</vt:lpwstr>
      </vt:variant>
      <vt:variant>
        <vt:lpwstr/>
      </vt:variant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https://www.venice.coe.int/webforms/documents/?pdf=CDL-AD(2019)015-e</vt:lpwstr>
      </vt:variant>
      <vt:variant>
        <vt:lpwstr/>
      </vt:variant>
      <vt:variant>
        <vt:i4>2031708</vt:i4>
      </vt:variant>
      <vt:variant>
        <vt:i4>0</vt:i4>
      </vt:variant>
      <vt:variant>
        <vt:i4>0</vt:i4>
      </vt:variant>
      <vt:variant>
        <vt:i4>5</vt:i4>
      </vt:variant>
      <vt:variant>
        <vt:lpwstr>https://rm.coe.int/opinion-of-the-council-of-europe-commissioner-for-human-rights-alvaro-/16806da6c9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2020-04-15T13:13:00Z</dcterms:created>
  <dcterms:modified xsi:type="dcterms:W3CDTF">2020-04-15T13:14:00Z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