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BB1" w:rsidRDefault="00C9692A" w:rsidP="00B12BB1">
      <w:pPr>
        <w:keepNext/>
        <w:spacing w:before="120" w:after="120"/>
        <w:ind w:firstLine="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bookmarkStart w:id="0" w:name="_GoBack"/>
      <w:bookmarkEnd w:id="0"/>
      <w:r w:rsidR="00B12BB1">
        <w:rPr>
          <w:b/>
          <w:sz w:val="24"/>
          <w:szCs w:val="24"/>
        </w:rPr>
        <w:t>ТЕХНИЧЕСКИ СПЕЦИФИКАЦИИ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Основни характеристики на обекта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sz w:val="24"/>
          <w:szCs w:val="24"/>
        </w:rPr>
      </w:pPr>
      <w:r>
        <w:rPr>
          <w:b/>
          <w:sz w:val="24"/>
          <w:szCs w:val="24"/>
        </w:rPr>
        <w:t>Местонахождение на имота</w:t>
      </w:r>
      <w:r>
        <w:rPr>
          <w:sz w:val="24"/>
          <w:szCs w:val="24"/>
        </w:rPr>
        <w:t xml:space="preserve">: град Пловдив - община Пловдив, област Пловдив.   </w:t>
      </w:r>
    </w:p>
    <w:p w:rsidR="00B12BB1" w:rsidRPr="00E313B2" w:rsidRDefault="00B12BB1" w:rsidP="00B12BB1">
      <w:pPr>
        <w:keepNext/>
        <w:spacing w:before="120" w:after="120"/>
        <w:ind w:firstLine="426"/>
        <w:jc w:val="both"/>
        <w:rPr>
          <w:sz w:val="24"/>
          <w:szCs w:val="24"/>
        </w:rPr>
      </w:pPr>
      <w:r>
        <w:rPr>
          <w:b/>
          <w:sz w:val="24"/>
          <w:szCs w:val="24"/>
        </w:rPr>
        <w:t>Административен адрес</w:t>
      </w:r>
      <w:r>
        <w:rPr>
          <w:sz w:val="24"/>
          <w:szCs w:val="24"/>
        </w:rPr>
        <w:t xml:space="preserve">: </w:t>
      </w:r>
      <w:r w:rsidRPr="00E313B2">
        <w:rPr>
          <w:sz w:val="24"/>
          <w:szCs w:val="24"/>
        </w:rPr>
        <w:t>гр. Пловдив, бул. „Александър Стамболииски“ №4</w:t>
      </w:r>
      <w:r>
        <w:rPr>
          <w:sz w:val="24"/>
          <w:szCs w:val="24"/>
        </w:rPr>
        <w:t>, Арест</w:t>
      </w:r>
      <w:r w:rsidRPr="00E313B2">
        <w:rPr>
          <w:sz w:val="24"/>
          <w:szCs w:val="24"/>
        </w:rPr>
        <w:t xml:space="preserve"> гр.Пловдив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sz w:val="24"/>
          <w:szCs w:val="24"/>
        </w:rPr>
      </w:pPr>
      <w:r>
        <w:rPr>
          <w:b/>
          <w:sz w:val="24"/>
          <w:szCs w:val="24"/>
        </w:rPr>
        <w:t>Вид собственост</w:t>
      </w:r>
      <w:r>
        <w:rPr>
          <w:sz w:val="24"/>
          <w:szCs w:val="24"/>
        </w:rPr>
        <w:t>: публична  държавна</w:t>
      </w:r>
    </w:p>
    <w:p w:rsidR="00B12BB1" w:rsidRDefault="00B12BB1" w:rsidP="00B12BB1">
      <w:pPr>
        <w:keepNext/>
        <w:spacing w:before="120"/>
        <w:ind w:firstLine="426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Предмет на ремонта е</w:t>
      </w:r>
      <w:r>
        <w:rPr>
          <w:sz w:val="24"/>
          <w:szCs w:val="24"/>
        </w:rPr>
        <w:t xml:space="preserve">: </w:t>
      </w:r>
      <w:r w:rsidRPr="00B94A88">
        <w:rPr>
          <w:sz w:val="24"/>
          <w:szCs w:val="24"/>
        </w:rPr>
        <w:t xml:space="preserve">Ремонтни дейности на </w:t>
      </w:r>
      <w:r>
        <w:rPr>
          <w:sz w:val="24"/>
          <w:szCs w:val="24"/>
        </w:rPr>
        <w:t>санитарни възли в Арест Пловдив към ОСИН Пловдив. Обектът е четвърта категория, като попада в обхвата на чл. 137, ал. 1, т.4, буква „ д“  от  ЗУТ. Участникът предлага оферта съгласно приложена количествена сметка, част от документацията за участие и съгласно описанието на ремонтните дейности, описани в техническата спецификация.</w:t>
      </w:r>
    </w:p>
    <w:p w:rsidR="00B12BB1" w:rsidRDefault="00B12BB1" w:rsidP="00B12BB1">
      <w:pPr>
        <w:keepNext/>
        <w:spacing w:before="120"/>
        <w:ind w:firstLine="426"/>
        <w:jc w:val="both"/>
        <w:rPr>
          <w:b/>
          <w:sz w:val="24"/>
          <w:szCs w:val="24"/>
        </w:rPr>
      </w:pPr>
    </w:p>
    <w:p w:rsidR="00B12BB1" w:rsidRDefault="00B12BB1" w:rsidP="00B12BB1">
      <w:pPr>
        <w:keepNext/>
        <w:ind w:firstLine="426"/>
        <w:rPr>
          <w:b/>
          <w:sz w:val="24"/>
          <w:szCs w:val="24"/>
        </w:rPr>
      </w:pPr>
      <w:r>
        <w:rPr>
          <w:b/>
          <w:sz w:val="24"/>
          <w:szCs w:val="24"/>
        </w:rPr>
        <w:t>ТЕХНИЧЕСКО ОПИСАНИЕ</w:t>
      </w:r>
    </w:p>
    <w:p w:rsidR="00B12BB1" w:rsidRDefault="00B12BB1" w:rsidP="00B12BB1">
      <w:pPr>
        <w:keepNext/>
        <w:numPr>
          <w:ilvl w:val="0"/>
          <w:numId w:val="1"/>
        </w:numPr>
        <w:autoSpaceDE w:val="0"/>
        <w:autoSpaceDN w:val="0"/>
        <w:adjustRightInd w:val="0"/>
        <w:ind w:hanging="294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Ситуация и общи данни за обекта</w:t>
      </w:r>
    </w:p>
    <w:p w:rsidR="00B12BB1" w:rsidRPr="00FC7FDB" w:rsidRDefault="00B12BB1" w:rsidP="00B12BB1">
      <w:pPr>
        <w:keepNext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Арестът в гр. Пловдив функционира от 2009 г. и се намира в района на Затвора гр. Пловдив, като представлява масивна двуетажна сграда с разгъната застроена площ ( РЗП ) 2450 кв.м. В арестната част на сградата са обособени 60 бр. помещения ( килии ) на два етажа по 30 бр. на етаж с общ капацитет от 180 задържани лица. В санитарните възли на ареста има съществуващ фаянс и теракот и същите са оборудвани с чугунени клекала и чугунени мивки.Тоалетните казанчета са разположени извън килиите в нисши ( куфари ) намиращи се в коридора и използването им е посредством изградена лостово-жилна система. Чугунените  клекала и мивки са амортизирани, лостово-жилната система на санитарните възли е повредена и не подлежи на възстановяване. Необходима е подмяна на фаянс и теракот. Съществува теч от санитарни възли разположени на втория етаж на ареста. Тръбните връзки в килиите са от полипропиленови тръби ᴓ 20 вкопани в зидовете и с покритие от 20 мм. мазилка. На тръбите за сдудена и топла вода към всяка килия има монтирани спирателни кранове. Вертикалните канализационни клонове приемащи битовите води от арестните помещения са изпълнени от </w:t>
      </w:r>
      <w:r>
        <w:rPr>
          <w:sz w:val="24"/>
          <w:szCs w:val="24"/>
          <w:lang w:val="en-US"/>
        </w:rPr>
        <w:t xml:space="preserve">PVC </w:t>
      </w:r>
      <w:r>
        <w:rPr>
          <w:sz w:val="24"/>
          <w:szCs w:val="24"/>
        </w:rPr>
        <w:t>тръби ᴓ 110 и същите се намират в коридорната част на етажа.</w:t>
      </w:r>
    </w:p>
    <w:p w:rsidR="00B12BB1" w:rsidRPr="0031291E" w:rsidRDefault="00B12BB1" w:rsidP="00B12BB1">
      <w:pPr>
        <w:keepNext/>
        <w:autoSpaceDE w:val="0"/>
        <w:autoSpaceDN w:val="0"/>
        <w:adjustRightInd w:val="0"/>
        <w:jc w:val="both"/>
        <w:rPr>
          <w:sz w:val="24"/>
          <w:szCs w:val="24"/>
        </w:rPr>
      </w:pPr>
    </w:p>
    <w:p w:rsidR="00B12BB1" w:rsidRDefault="00B12BB1" w:rsidP="00B12BB1">
      <w:pPr>
        <w:keepNext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Не се предвижда промяна на контура и геометрията на помещенията.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Предвижда се само: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подмяна на тоалетни клекала и мивки;    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армирана подова настилка и хидроизолация;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направа на фаянс и теракот;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боядисване с латекс;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3. </w:t>
      </w:r>
      <w:r>
        <w:rPr>
          <w:b/>
          <w:sz w:val="24"/>
          <w:szCs w:val="24"/>
          <w:u w:val="single"/>
        </w:rPr>
        <w:t xml:space="preserve">Строително-техническо решение </w:t>
      </w:r>
    </w:p>
    <w:p w:rsidR="00B12BB1" w:rsidRPr="00FC7FDB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Доставка и монтаж на модул за вграждане и бутон за структура за тоалетна. Доставка и монтаж на мивка със стоящ смесител с </w:t>
      </w:r>
      <w:r>
        <w:rPr>
          <w:sz w:val="24"/>
          <w:szCs w:val="24"/>
          <w:lang w:val="en-US"/>
        </w:rPr>
        <w:t xml:space="preserve">Push </w:t>
      </w:r>
      <w:r>
        <w:rPr>
          <w:sz w:val="24"/>
          <w:szCs w:val="24"/>
        </w:rPr>
        <w:t>бутон. Доставка и монтаж на тоалетно клекало в килиите. Демонтажни дейности, направа на армирана циментова замазка, хидроизолация на под, възстановяване на фаянс и теракот, бодисване с латекс на санитрните възли.</w:t>
      </w: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</w:p>
    <w:p w:rsidR="00B12BB1" w:rsidRDefault="00B12BB1" w:rsidP="00B12BB1">
      <w:pPr>
        <w:keepNext/>
        <w:autoSpaceDE w:val="0"/>
        <w:autoSpaceDN w:val="0"/>
        <w:adjustRightInd w:val="0"/>
        <w:ind w:firstLine="426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4. </w:t>
      </w:r>
      <w:r>
        <w:rPr>
          <w:b/>
          <w:sz w:val="24"/>
          <w:szCs w:val="24"/>
          <w:u w:val="single"/>
        </w:rPr>
        <w:t>Технико-икономически показатели за ремонта са:</w:t>
      </w:r>
    </w:p>
    <w:p w:rsidR="00B12BB1" w:rsidRDefault="00B12BB1" w:rsidP="00B12BB1">
      <w:pPr>
        <w:keepNext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</w:p>
    <w:p w:rsidR="00B12BB1" w:rsidRDefault="00B12BB1" w:rsidP="00B12BB1">
      <w:pPr>
        <w:keepNext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ОБЩА ПЛОЩ ЗА РЕМОНТ НА 60 бр. САНИТАРНИ ВЪЗЛИ - 120 м²</w:t>
      </w:r>
    </w:p>
    <w:p w:rsidR="00B12BB1" w:rsidRDefault="00B12BB1" w:rsidP="00B12BB1">
      <w:pPr>
        <w:keepNext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</w:p>
    <w:p w:rsidR="00B12BB1" w:rsidRDefault="00B12BB1" w:rsidP="00B12BB1">
      <w:pPr>
        <w:keepNext/>
        <w:spacing w:afterLines="40" w:after="96"/>
        <w:ind w:firstLine="426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Участниците следва да извършат посещение на обекта за запознаване с условията на поръчката и обема на работа. Посещение на обекта се организира от Възложителя всеки ден до изтичане срока за подаване на оферти. Всеки участник изпраща предварително писмено уведомление до Възложителя, в което посочва дата, на която ще посети обекта и прилага копие от Удостоверение за актуално състояние или ЕИК. Лицата следва да носят със себе си лична карта. Посещението се извършва от законния представител на участника лично или чрез надлежно и изрично упълномощен да извърши огледа представител – представя се пълномощно в оригинал или заверено копие. Не е необходима нотариална заверка. Копие от пълномощното се прилага към уведомлението за предстоящ оглед. </w:t>
      </w:r>
    </w:p>
    <w:p w:rsidR="00B12BB1" w:rsidRDefault="00B12BB1" w:rsidP="00B12BB1">
      <w:pPr>
        <w:keepNext/>
        <w:ind w:firstLine="426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Към своята оферта всеки участник прилага Декларация за запознаване с условията на процедурата и строителната площадка и за изпълнението на поръчката, при което изрично декларира, че запознаването, респективно незапознаването с мястото и условията за изпълнение е за негов риск при изготвянето на техническото и ценовото предложение за изпълнение на поръчката (съгласно Образец № 11).</w:t>
      </w:r>
    </w:p>
    <w:p w:rsidR="00B12BB1" w:rsidRDefault="00B12BB1" w:rsidP="00B12BB1">
      <w:pPr>
        <w:keepNext/>
        <w:ind w:firstLine="426"/>
        <w:jc w:val="both"/>
        <w:rPr>
          <w:sz w:val="24"/>
          <w:szCs w:val="24"/>
          <w:lang w:eastAsia="en-US"/>
        </w:rPr>
      </w:pPr>
    </w:p>
    <w:p w:rsidR="00B12BB1" w:rsidRDefault="00B12BB1" w:rsidP="00B12BB1">
      <w:pPr>
        <w:keepNext/>
        <w:spacing w:before="120" w:after="120"/>
        <w:ind w:firstLine="426"/>
        <w:jc w:val="both"/>
        <w:rPr>
          <w:bCs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РИСКОВЕ ЗА ИЗПЪЛНЕНИЕ НА ПОРЪЧКАТА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 подготовка на своите предложения участниците следва да предложат конкретни мерки за предотвратяване настъпването, както и конкретни мерки за преодоляване на последиците от вече настъпил риск. Възложителят идентифицира следните рискове </w:t>
      </w:r>
      <w:r>
        <w:rPr>
          <w:sz w:val="24"/>
          <w:szCs w:val="24"/>
        </w:rPr>
        <w:t xml:space="preserve">с висока степен на </w:t>
      </w:r>
      <w:r>
        <w:rPr>
          <w:bCs/>
          <w:sz w:val="24"/>
          <w:szCs w:val="24"/>
        </w:rPr>
        <w:t xml:space="preserve">възможност за поява: </w:t>
      </w:r>
    </w:p>
    <w:p w:rsidR="00B12BB1" w:rsidRDefault="00B12BB1" w:rsidP="00B12BB1">
      <w:pPr>
        <w:keepNext/>
        <w:numPr>
          <w:ilvl w:val="0"/>
          <w:numId w:val="3"/>
        </w:numPr>
        <w:tabs>
          <w:tab w:val="left" w:pos="567"/>
          <w:tab w:val="left" w:pos="709"/>
        </w:tabs>
        <w:spacing w:before="120" w:after="120"/>
        <w:ind w:left="0" w:firstLine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Времеви рискове:</w:t>
      </w:r>
    </w:p>
    <w:p w:rsidR="00B12BB1" w:rsidRDefault="00B12BB1" w:rsidP="00B12BB1">
      <w:pPr>
        <w:keepNext/>
        <w:numPr>
          <w:ilvl w:val="2"/>
          <w:numId w:val="4"/>
        </w:numPr>
        <w:tabs>
          <w:tab w:val="left" w:pos="567"/>
        </w:tabs>
        <w:spacing w:before="120" w:after="120"/>
        <w:ind w:left="0" w:firstLine="426"/>
        <w:rPr>
          <w:bCs/>
          <w:sz w:val="24"/>
          <w:szCs w:val="24"/>
        </w:rPr>
      </w:pPr>
      <w:r>
        <w:rPr>
          <w:bCs/>
          <w:sz w:val="24"/>
          <w:szCs w:val="24"/>
        </w:rPr>
        <w:t>Забава при стартиране на работите;</w:t>
      </w:r>
    </w:p>
    <w:p w:rsidR="00B12BB1" w:rsidRDefault="00B12BB1" w:rsidP="00B12BB1">
      <w:pPr>
        <w:keepNext/>
        <w:numPr>
          <w:ilvl w:val="2"/>
          <w:numId w:val="4"/>
        </w:numPr>
        <w:tabs>
          <w:tab w:val="left" w:pos="567"/>
        </w:tabs>
        <w:spacing w:before="120" w:after="120"/>
        <w:ind w:left="0" w:firstLine="426"/>
        <w:rPr>
          <w:bCs/>
          <w:sz w:val="24"/>
          <w:szCs w:val="24"/>
        </w:rPr>
      </w:pPr>
      <w:r>
        <w:rPr>
          <w:bCs/>
          <w:sz w:val="24"/>
          <w:szCs w:val="24"/>
        </w:rPr>
        <w:t>Изоставане от графика при текущото изпълнение на дейностите;</w:t>
      </w:r>
    </w:p>
    <w:p w:rsidR="00B12BB1" w:rsidRDefault="00B12BB1" w:rsidP="00B12BB1">
      <w:pPr>
        <w:keepNext/>
        <w:numPr>
          <w:ilvl w:val="2"/>
          <w:numId w:val="4"/>
        </w:numPr>
        <w:tabs>
          <w:tab w:val="left" w:pos="567"/>
        </w:tabs>
        <w:spacing w:before="120" w:after="120"/>
        <w:ind w:left="0" w:firstLine="426"/>
        <w:rPr>
          <w:bCs/>
          <w:sz w:val="24"/>
          <w:szCs w:val="24"/>
        </w:rPr>
      </w:pPr>
      <w:r>
        <w:rPr>
          <w:bCs/>
          <w:sz w:val="24"/>
          <w:szCs w:val="24"/>
        </w:rPr>
        <w:t>Риск от закъснение за окончателно приключване и предаване на обекта;</w:t>
      </w:r>
    </w:p>
    <w:p w:rsidR="00B12BB1" w:rsidRDefault="00B12BB1" w:rsidP="00B12BB1">
      <w:pPr>
        <w:keepNext/>
        <w:numPr>
          <w:ilvl w:val="0"/>
          <w:numId w:val="3"/>
        </w:numPr>
        <w:tabs>
          <w:tab w:val="num" w:pos="0"/>
          <w:tab w:val="left" w:pos="567"/>
          <w:tab w:val="left" w:pos="709"/>
        </w:tabs>
        <w:spacing w:before="120" w:after="120"/>
        <w:ind w:left="0" w:firstLine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Липса/недостатъчно съдействие и/или информация от страна на други участници в строителния процес;</w:t>
      </w:r>
    </w:p>
    <w:p w:rsidR="00B12BB1" w:rsidRDefault="00B12BB1" w:rsidP="00B12BB1">
      <w:pPr>
        <w:keepNext/>
        <w:numPr>
          <w:ilvl w:val="0"/>
          <w:numId w:val="3"/>
        </w:numPr>
        <w:tabs>
          <w:tab w:val="num" w:pos="0"/>
          <w:tab w:val="left" w:pos="567"/>
          <w:tab w:val="left" w:pos="709"/>
        </w:tabs>
        <w:spacing w:before="120" w:after="120"/>
        <w:ind w:left="0" w:firstLine="426"/>
        <w:jc w:val="both"/>
        <w:rPr>
          <w:bCs/>
          <w:sz w:val="24"/>
          <w:szCs w:val="24"/>
        </w:rPr>
      </w:pPr>
      <w:r>
        <w:rPr>
          <w:bCs/>
          <w:spacing w:val="-2"/>
          <w:sz w:val="24"/>
          <w:szCs w:val="24"/>
        </w:rPr>
        <w:t>Недостатъчно добро сътрудничество със служителите на Възложителя, който са определени за контактни лица.</w:t>
      </w:r>
    </w:p>
    <w:p w:rsidR="00B12BB1" w:rsidRDefault="00B12BB1" w:rsidP="00B12BB1">
      <w:pPr>
        <w:keepNext/>
        <w:spacing w:before="120" w:after="240"/>
        <w:ind w:firstLine="426"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В своите технически предложения участниците следва да предложат най-малко една мярка за предотвратяване и минимум една мярка за преодоляване на всеки от идентифицираните рискове.</w:t>
      </w:r>
    </w:p>
    <w:p w:rsidR="00B12BB1" w:rsidRDefault="00B12BB1" w:rsidP="00B12BB1">
      <w:pPr>
        <w:keepNext/>
        <w:ind w:firstLine="426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Минимални изисквания към техническите предложения на участниците</w:t>
      </w:r>
    </w:p>
    <w:p w:rsidR="00B12BB1" w:rsidRDefault="00B12BB1" w:rsidP="00B12BB1">
      <w:pPr>
        <w:pStyle w:val="a3"/>
        <w:keepNext/>
        <w:tabs>
          <w:tab w:val="left" w:pos="1134"/>
        </w:tabs>
        <w:spacing w:after="60"/>
        <w:ind w:left="0" w:firstLine="426"/>
        <w:contextualSpacing w:val="0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Участникът следва да представи предложение за изпълнение на поръчката в съответствие с техническите спецификации и изискванията на възложителя (по Приложение № 1), включващо и:</w:t>
      </w:r>
      <w:r>
        <w:rPr>
          <w:rFonts w:ascii="Times New Roman" w:hAnsi="Times New Roman"/>
          <w:i/>
          <w:sz w:val="24"/>
          <w:szCs w:val="24"/>
          <w:highlight w:val="yellow"/>
        </w:rPr>
        <w:t xml:space="preserve"> </w:t>
      </w:r>
    </w:p>
    <w:p w:rsidR="00B12BB1" w:rsidRDefault="00B12BB1" w:rsidP="00B12BB1">
      <w:pPr>
        <w:keepNext/>
        <w:shd w:val="clear" w:color="auto" w:fill="FFFFFF"/>
        <w:tabs>
          <w:tab w:val="left" w:pos="426"/>
        </w:tabs>
        <w:spacing w:before="120" w:after="120"/>
        <w:ind w:firstLine="426"/>
        <w:jc w:val="both"/>
        <w:rPr>
          <w:noProof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Строителна програма</w:t>
      </w:r>
      <w:r>
        <w:rPr>
          <w:bCs/>
          <w:sz w:val="24"/>
          <w:szCs w:val="24"/>
        </w:rPr>
        <w:t xml:space="preserve"> - </w:t>
      </w:r>
      <w:r>
        <w:rPr>
          <w:sz w:val="24"/>
          <w:szCs w:val="24"/>
        </w:rPr>
        <w:t xml:space="preserve">Към Техническото предложение участникът прилага строителна програма за организация и изпълнение на договора, която включва минимум (без да се ограничава) следните точки: </w:t>
      </w:r>
    </w:p>
    <w:p w:rsidR="00B12BB1" w:rsidRDefault="00B12BB1" w:rsidP="00B12BB1">
      <w:pPr>
        <w:keepNext/>
        <w:numPr>
          <w:ilvl w:val="0"/>
          <w:numId w:val="2"/>
        </w:numPr>
        <w:spacing w:before="120" w:after="120"/>
        <w:ind w:left="0"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Изпълнение на строително-монтажни работи - </w:t>
      </w:r>
      <w:r>
        <w:rPr>
          <w:sz w:val="24"/>
          <w:szCs w:val="24"/>
        </w:rPr>
        <w:t>в тази част от строителната програма, участникът трябва подробно да опише предложенията си относно:</w:t>
      </w:r>
      <w:r>
        <w:rPr>
          <w:b/>
          <w:sz w:val="24"/>
          <w:szCs w:val="24"/>
        </w:rPr>
        <w:t xml:space="preserve"> 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ab/>
        <w:t>- Обхват и дейности, съобразно виждането му за изпълнение на строителството - следва да се опише последователността на изпълнение на строителството, да се обхванат и опишат всички дейности, необходими за изпълнението предмета на поръчката, отчитайки времето за подготвителните дейности, дейностите по изпълнението на строително-монтажните работи, тестванията, въвеждането на обекта в експлоатация и други;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- Описание на видовете СМР и предлагана технология на изпълнението им; 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ab/>
        <w:t>- Организация на строителната площадка и временна строителна база - предложената организация следва да е съобразена с Техническата спецификация и особеностите на обекта;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- Организация на ресурсите – участникът следва да направи пълно описание на начините за разпределение на дейностите и отговорностите между предлаганите от него специалисти, отношенията и връзките на контрол и взаимодействие, както между предлаганите от него специалисти, така и в отношенията с Възложителя по начин, гарантиращ качественото и навременно изпълнение на договора. Участникът описва работните звена за изпълнение на основните видове дейности - вид, състав, брой, техническа обезпеченост. Участникът следва да опише и как ще се извършва доставката на материали, като е видно, че същата е съобразена с посоченото в графика за изпълнение на поръчката, начало и край на изпълнение на съответната дейност. 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Мерки за контрол с цел осигуряване на качеството.</w:t>
      </w:r>
    </w:p>
    <w:p w:rsidR="00B12BB1" w:rsidRDefault="00B12BB1" w:rsidP="00B12BB1">
      <w:pPr>
        <w:keepNext/>
        <w:tabs>
          <w:tab w:val="left" w:pos="426"/>
        </w:tabs>
        <w:spacing w:before="120" w:after="120"/>
        <w:ind w:firstLine="567"/>
        <w:jc w:val="both"/>
        <w:rPr>
          <w:rFonts w:eastAsia="Calibri"/>
          <w:sz w:val="24"/>
          <w:szCs w:val="24"/>
          <w:lang w:eastAsia="zh-CN"/>
        </w:rPr>
      </w:pPr>
      <w:r>
        <w:rPr>
          <w:sz w:val="24"/>
          <w:szCs w:val="24"/>
        </w:rPr>
        <w:t>- Стратегия за управление на риска, в която трябва да бъдат предложени мерки за предотвратяване и преодоляване на последиците от настъпването на идентифицираните от Възложителя и Изпълнителя рискове. Стратегията следва да съдържа най-малко една мярка за предотвратяване и минимум една мярка за преодоляване на всеки от идентифицираните рискове.</w:t>
      </w:r>
    </w:p>
    <w:p w:rsidR="00B12BB1" w:rsidRDefault="00B12BB1" w:rsidP="00B12BB1">
      <w:pPr>
        <w:keepNext/>
        <w:tabs>
          <w:tab w:val="left" w:pos="-360"/>
          <w:tab w:val="left" w:pos="0"/>
          <w:tab w:val="left" w:pos="993"/>
        </w:tabs>
        <w:autoSpaceDE w:val="0"/>
        <w:autoSpaceDN w:val="0"/>
        <w:adjustRightInd w:val="0"/>
        <w:jc w:val="both"/>
        <w:rPr>
          <w:sz w:val="24"/>
          <w:szCs w:val="24"/>
          <w:highlight w:val="lightGray"/>
        </w:rPr>
      </w:pPr>
      <w:r>
        <w:rPr>
          <w:b/>
          <w:noProof/>
          <w:sz w:val="24"/>
          <w:szCs w:val="24"/>
          <w:u w:val="single"/>
          <w:lang w:val="ru-RU"/>
        </w:rPr>
        <w:t>График за изпълнение на поръчката</w:t>
      </w:r>
      <w:r>
        <w:rPr>
          <w:noProof/>
          <w:sz w:val="24"/>
          <w:szCs w:val="24"/>
          <w:lang w:val="ru-RU"/>
        </w:rPr>
        <w:t xml:space="preserve"> – </w:t>
      </w:r>
      <w:r>
        <w:rPr>
          <w:sz w:val="24"/>
          <w:szCs w:val="24"/>
        </w:rPr>
        <w:t xml:space="preserve">участникът следва да представи подробен Линеен график за видове СМР – по етапност и срок на изпълнението, работната сила и механизацията. Предложеният линеен график следва да е свързан с технологично-строителната програма за изпълнение на СМР, предложена от участника, </w:t>
      </w:r>
      <w:r>
        <w:rPr>
          <w:noProof/>
          <w:sz w:val="24"/>
          <w:szCs w:val="24"/>
          <w:lang w:val="ru-RU"/>
        </w:rPr>
        <w:t xml:space="preserve">като обосновава предложения срок за изпълнение на поръчката. </w:t>
      </w:r>
      <w:r>
        <w:rPr>
          <w:sz w:val="24"/>
          <w:szCs w:val="24"/>
        </w:rPr>
        <w:t xml:space="preserve">Към линейния график следва да бъде приложена и диаграма на работната ръка. </w:t>
      </w:r>
      <w:r>
        <w:rPr>
          <w:noProof/>
          <w:sz w:val="24"/>
          <w:szCs w:val="24"/>
        </w:rPr>
        <w:t xml:space="preserve">Графикът следва да отразява и продължителността на всички съпътстващи дейности (напр. временно строителство и т.н.). </w:t>
      </w:r>
    </w:p>
    <w:p w:rsidR="00B12BB1" w:rsidRDefault="00B12BB1" w:rsidP="00B12BB1">
      <w:pPr>
        <w:keepNext/>
        <w:ind w:firstLine="567"/>
        <w:jc w:val="both"/>
        <w:rPr>
          <w:b/>
          <w:noProof/>
          <w:sz w:val="24"/>
          <w:szCs w:val="24"/>
          <w:lang w:val="ru-RU"/>
        </w:rPr>
      </w:pPr>
    </w:p>
    <w:p w:rsidR="00B12BB1" w:rsidRDefault="00B12BB1" w:rsidP="00B12BB1">
      <w:pPr>
        <w:keepNext/>
        <w:spacing w:before="120" w:after="120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4. СРОК ЗА ИЗПЪЛНЕНИЕ НА ПОРЪЧКАТА</w:t>
      </w:r>
    </w:p>
    <w:p w:rsidR="00B12BB1" w:rsidRDefault="00B12BB1" w:rsidP="00B12BB1">
      <w:pPr>
        <w:keepNext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Крайният срок за изпълнение на поръчката е до 90 (деветдесет) календарни дни, като срокът за изпълнение на договорените строително-монтажни работи и предаването на строежа започва да тече със съставяне  на акт обр. 2 за откриване на строителната площадка  съгласно Наредба № 3 от 31.07.2003 г. за съставяне на актове и протоколи по време на строителството до съставянето на последния по ред констативен акт обр</w:t>
      </w:r>
      <w:r w:rsidRPr="00DA1957">
        <w:rPr>
          <w:sz w:val="24"/>
          <w:szCs w:val="24"/>
        </w:rPr>
        <w:t>. 15 за установяване годността за приемане на обекта, съгласно Наредба № 3 от 31 юли</w:t>
      </w:r>
      <w:r>
        <w:rPr>
          <w:sz w:val="24"/>
          <w:szCs w:val="24"/>
        </w:rPr>
        <w:t xml:space="preserve"> 2003 г. или, когато в него са идентифицирани забележки, до подписването на последния по ред протокол за приемане от страна на Възложителя на забележките.</w:t>
      </w:r>
    </w:p>
    <w:p w:rsidR="00B12BB1" w:rsidRDefault="00B12BB1" w:rsidP="00B12BB1">
      <w:pPr>
        <w:keepNext/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Участникът посочва срок за изпълнение в календарни дни, който не може да надвишава посочения по-горе срок.</w:t>
      </w:r>
    </w:p>
    <w:p w:rsidR="00B12BB1" w:rsidRDefault="00B12BB1" w:rsidP="00B12BB1">
      <w:pPr>
        <w:keepNext/>
        <w:spacing w:line="276" w:lineRule="auto"/>
        <w:ind w:firstLine="426"/>
        <w:jc w:val="both"/>
        <w:rPr>
          <w:sz w:val="24"/>
          <w:szCs w:val="24"/>
        </w:rPr>
      </w:pPr>
      <w:r>
        <w:rPr>
          <w:b/>
          <w:sz w:val="24"/>
          <w:szCs w:val="24"/>
        </w:rPr>
        <w:t>Забележка:</w:t>
      </w:r>
      <w:r>
        <w:rPr>
          <w:sz w:val="24"/>
          <w:szCs w:val="24"/>
        </w:rPr>
        <w:t xml:space="preserve"> Поради спецификата на обекта, строителните дейности и организацията на СМР ще се извършват след съгласуване от началника на ареста или от упълномощено от него лице!</w:t>
      </w:r>
    </w:p>
    <w:p w:rsidR="00B12BB1" w:rsidRDefault="00B12BB1" w:rsidP="00B12BB1">
      <w:pPr>
        <w:keepNext/>
        <w:spacing w:after="120" w:line="276" w:lineRule="auto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 МЯСТО ЗА ИЗПЪЛНЕНИЕ НА СТРОИТЕЛСТВОТО</w:t>
      </w:r>
    </w:p>
    <w:p w:rsidR="00B12BB1" w:rsidRDefault="00B12BB1" w:rsidP="00B12BB1">
      <w:pPr>
        <w:keepNext/>
        <w:spacing w:line="240" w:lineRule="atLeast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Мястото на изпълнение на строителството е: гр. Пловдив, </w:t>
      </w:r>
      <w:r w:rsidRPr="00A90791">
        <w:rPr>
          <w:sz w:val="24"/>
          <w:szCs w:val="24"/>
        </w:rPr>
        <w:t xml:space="preserve">бул. </w:t>
      </w:r>
      <w:r>
        <w:rPr>
          <w:sz w:val="24"/>
          <w:szCs w:val="24"/>
        </w:rPr>
        <w:t>„Александър Стамболииски“ №4.</w:t>
      </w:r>
    </w:p>
    <w:p w:rsidR="00B12BB1" w:rsidRDefault="00B12BB1" w:rsidP="00B12BB1">
      <w:pPr>
        <w:keepNext/>
        <w:spacing w:line="240" w:lineRule="atLeast"/>
        <w:ind w:firstLine="426"/>
        <w:jc w:val="both"/>
        <w:rPr>
          <w:sz w:val="24"/>
          <w:szCs w:val="24"/>
        </w:rPr>
      </w:pPr>
    </w:p>
    <w:p w:rsidR="00B12BB1" w:rsidRDefault="00B12BB1" w:rsidP="00B12BB1">
      <w:pPr>
        <w:keepNext/>
        <w:spacing w:line="240" w:lineRule="atLeast"/>
        <w:ind w:firstLine="426"/>
        <w:jc w:val="both"/>
        <w:rPr>
          <w:sz w:val="24"/>
          <w:szCs w:val="24"/>
        </w:rPr>
      </w:pPr>
    </w:p>
    <w:p w:rsidR="00B12BB1" w:rsidRDefault="00B12BB1" w:rsidP="00B12BB1">
      <w:pPr>
        <w:keepNext/>
        <w:spacing w:line="240" w:lineRule="atLeast"/>
        <w:ind w:firstLine="426"/>
        <w:jc w:val="both"/>
        <w:rPr>
          <w:b/>
          <w:sz w:val="24"/>
          <w:szCs w:val="24"/>
        </w:rPr>
      </w:pPr>
    </w:p>
    <w:p w:rsidR="00B12BB1" w:rsidRDefault="00B12BB1" w:rsidP="00B12BB1">
      <w:pPr>
        <w:keepNext/>
        <w:spacing w:after="120" w:line="276" w:lineRule="auto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 ПРОГНОЗНА СТОЙНОСТ, ПРИЕМАНЕ НА РАБОТИТЕ И ПЛАЩАНИЯ</w:t>
      </w:r>
    </w:p>
    <w:p w:rsidR="00B12BB1" w:rsidRDefault="00B12BB1" w:rsidP="00B12BB1">
      <w:pPr>
        <w:keepNext/>
        <w:tabs>
          <w:tab w:val="left" w:pos="0"/>
        </w:tabs>
        <w:spacing w:line="276" w:lineRule="auto"/>
        <w:ind w:firstLine="426"/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Прогнозната стойност на поръчката е в размер до 125 000,00 (сто двадесет и пет хиляди) лева без включен ДДС или 150 000,00 (сто и петдесет хиляди) лева с начислен ДДС. Дейностите, предмет на п</w:t>
      </w:r>
      <w:r>
        <w:rPr>
          <w:sz w:val="24"/>
          <w:szCs w:val="24"/>
          <w:lang w:eastAsia="en-US"/>
        </w:rPr>
        <w:t>оръчката, се финансират от бюджета на Главна дирекция „Изпълнение на наказанията“.</w:t>
      </w:r>
    </w:p>
    <w:p w:rsidR="00B12BB1" w:rsidRDefault="00B12BB1" w:rsidP="00B12BB1">
      <w:pPr>
        <w:keepNext/>
        <w:tabs>
          <w:tab w:val="left" w:pos="0"/>
        </w:tabs>
        <w:spacing w:line="276" w:lineRule="auto"/>
        <w:ind w:firstLine="426"/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Оферираните от участниците цени следва да са съобразени с посочената прогнозна стойност. Цените на отделните СМР, съгласно количествено-стойностната сметка, трябва да са крайни, без ДДС, и да включват стойността на всички влагани материали, доставно-складови, разходи за механизация, трудови разходи, осигуровки и всякакви други преки и непреки разходи, и печалбата на изпълнителя.</w:t>
      </w:r>
    </w:p>
    <w:p w:rsidR="00B12BB1" w:rsidRDefault="00B12BB1" w:rsidP="00B12BB1">
      <w:pPr>
        <w:keepNext/>
        <w:tabs>
          <w:tab w:val="left" w:pos="0"/>
        </w:tabs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Предложената цена за строително-монтажните работи се доказва с количествено-стойностната сметка, в която са посочени единични цени на видовете работи. Предлаганата от участника цена, която подлежи на оценка, се формира от сбора на общата цена, посочена в графа „ВСИЧКО“ – КСС и фиксираната стойност на непредвидените разходи – в размер на точно 10% от предложената цена. </w:t>
      </w:r>
    </w:p>
    <w:p w:rsidR="00B12BB1" w:rsidRDefault="00B12BB1" w:rsidP="00B12BB1">
      <w:pPr>
        <w:keepNext/>
        <w:tabs>
          <w:tab w:val="left" w:pos="0"/>
        </w:tabs>
        <w:spacing w:line="276" w:lineRule="auto"/>
        <w:ind w:firstLine="426"/>
        <w:jc w:val="both"/>
        <w:rPr>
          <w:spacing w:val="-4"/>
          <w:sz w:val="24"/>
          <w:szCs w:val="24"/>
        </w:rPr>
      </w:pPr>
      <w:r w:rsidRPr="00CE2A67">
        <w:rPr>
          <w:spacing w:val="-4"/>
          <w:sz w:val="24"/>
          <w:szCs w:val="24"/>
        </w:rPr>
        <w:t>Плащането по Договора може да се извършва чрез откриване на сметка със специален режим и предназначение (ескроу/сметка). Всички разходи, свързани с откриването и управлението на специалната сметка, се поемат от изпълнителя.</w:t>
      </w:r>
    </w:p>
    <w:p w:rsidR="00B12BB1" w:rsidRPr="00CE2A67" w:rsidRDefault="00B12BB1" w:rsidP="00B12BB1">
      <w:pPr>
        <w:keepNext/>
        <w:tabs>
          <w:tab w:val="left" w:pos="0"/>
        </w:tabs>
        <w:spacing w:line="276" w:lineRule="auto"/>
        <w:ind w:firstLine="426"/>
        <w:jc w:val="both"/>
        <w:rPr>
          <w:spacing w:val="-4"/>
          <w:sz w:val="24"/>
          <w:szCs w:val="24"/>
        </w:rPr>
      </w:pPr>
    </w:p>
    <w:p w:rsidR="00B12BB1" w:rsidRDefault="00B12BB1" w:rsidP="00B12BB1">
      <w:pPr>
        <w:keepNext/>
        <w:tabs>
          <w:tab w:val="left" w:pos="284"/>
          <w:tab w:val="left" w:pos="851"/>
          <w:tab w:val="left" w:pos="1134"/>
        </w:tabs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!!! ВАЖНО: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Предлаганата от участника цена, формирана от сбора на общата цена, посочена в графа „ВСИЧКО“ – КСС и фиксираната стойност на непредвидените разходи в размер на точно 10 %, не може да надвишава прогнозната стойност на поръчката, посочена от Възложителя в обявата</w:t>
      </w:r>
    </w:p>
    <w:p w:rsidR="00B12BB1" w:rsidRDefault="00B12BB1" w:rsidP="00B12BB1">
      <w:pPr>
        <w:keepNext/>
        <w:tabs>
          <w:tab w:val="left" w:pos="284"/>
          <w:tab w:val="left" w:pos="851"/>
          <w:tab w:val="left" w:pos="1134"/>
        </w:tabs>
        <w:ind w:firstLine="426"/>
        <w:jc w:val="both"/>
        <w:rPr>
          <w:sz w:val="16"/>
          <w:szCs w:val="16"/>
        </w:rPr>
      </w:pPr>
    </w:p>
    <w:p w:rsidR="00B12BB1" w:rsidRDefault="00B12BB1" w:rsidP="00B12BB1">
      <w:pPr>
        <w:keepNext/>
        <w:autoSpaceDE w:val="0"/>
        <w:autoSpaceDN w:val="0"/>
        <w:adjustRightInd w:val="0"/>
        <w:spacing w:after="12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Оферти на участниците, които надхвърлят максималната прогнозна сройност на поръчката, ще бъдат отстранени от участие в настоящата процедура, като неотговарящи на предварително обявените от Възложителя условия. </w:t>
      </w:r>
    </w:p>
    <w:p w:rsidR="00B12BB1" w:rsidRDefault="00B12BB1" w:rsidP="00B12BB1">
      <w:pPr>
        <w:keepNext/>
        <w:spacing w:line="276" w:lineRule="auto"/>
        <w:ind w:firstLine="425"/>
        <w:jc w:val="both"/>
        <w:rPr>
          <w:rFonts w:eastAsia="Calibri"/>
          <w:spacing w:val="-6"/>
          <w:sz w:val="24"/>
          <w:szCs w:val="24"/>
          <w:lang w:eastAsia="en-US"/>
        </w:rPr>
      </w:pPr>
      <w:r>
        <w:rPr>
          <w:sz w:val="24"/>
          <w:szCs w:val="24"/>
        </w:rPr>
        <w:t>Условията и реда за приемането и заплащането са посочени в проекта на договор.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7. ИЗИСКВАНИЯ КЪМ УЧАСТНИЦИТЕ</w:t>
      </w:r>
    </w:p>
    <w:p w:rsidR="00B12BB1" w:rsidRDefault="00B12BB1" w:rsidP="00B12BB1">
      <w:pPr>
        <w:keepNext/>
        <w:spacing w:after="240" w:line="276" w:lineRule="auto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(приложено в Раздел II към документацията)</w:t>
      </w:r>
    </w:p>
    <w:p w:rsidR="00B12BB1" w:rsidRDefault="00B12BB1" w:rsidP="00B12BB1">
      <w:pPr>
        <w:keepNext/>
        <w:spacing w:before="120" w:after="120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8. КРИТЕРИЙ ЗА ВЪЗЛАГАНЕ</w:t>
      </w:r>
    </w:p>
    <w:p w:rsidR="00B12BB1" w:rsidRPr="00775CEF" w:rsidRDefault="00B12BB1" w:rsidP="00B12BB1">
      <w:pPr>
        <w:keepNext/>
        <w:spacing w:after="80"/>
        <w:ind w:firstLine="425"/>
        <w:jc w:val="both"/>
        <w:rPr>
          <w:rFonts w:eastAsia="Calibri"/>
          <w:b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 xml:space="preserve">Икономически най-изгодната оферта се определя въз основа на следния </w:t>
      </w:r>
      <w:r w:rsidRPr="00775CEF">
        <w:rPr>
          <w:rFonts w:eastAsia="Calibri"/>
          <w:b/>
          <w:sz w:val="24"/>
          <w:szCs w:val="24"/>
          <w:u w:val="single"/>
          <w:lang w:eastAsia="en-US"/>
        </w:rPr>
        <w:t>критерий за възлагане</w:t>
      </w:r>
      <w:r w:rsidRPr="00775CEF">
        <w:rPr>
          <w:rFonts w:eastAsia="Calibri"/>
          <w:sz w:val="24"/>
          <w:szCs w:val="24"/>
          <w:lang w:eastAsia="en-US"/>
        </w:rPr>
        <w:t xml:space="preserve">: </w:t>
      </w:r>
      <w:r w:rsidRPr="00775CEF">
        <w:rPr>
          <w:rFonts w:eastAsia="Calibri"/>
          <w:b/>
          <w:sz w:val="24"/>
          <w:szCs w:val="24"/>
          <w:lang w:eastAsia="en-US"/>
        </w:rPr>
        <w:t>оптимално съотношение качество/цена, което се оценява въз основа на цената, както и на показатели, включващи качествени и екологични аспекти, свързани с предмета на обществената поръчка.</w:t>
      </w:r>
    </w:p>
    <w:p w:rsidR="00B12BB1" w:rsidRPr="00775CEF" w:rsidRDefault="00B12BB1" w:rsidP="00B12BB1">
      <w:pPr>
        <w:keepNext/>
        <w:spacing w:after="80"/>
        <w:ind w:firstLine="425"/>
        <w:jc w:val="both"/>
        <w:rPr>
          <w:rFonts w:eastAsia="Calibri"/>
          <w:b/>
          <w:bCs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 xml:space="preserve">Критерият за оценка на предложенията е </w:t>
      </w:r>
      <w:r w:rsidRPr="00775CEF">
        <w:rPr>
          <w:rFonts w:eastAsia="Calibri"/>
          <w:b/>
          <w:bCs/>
          <w:sz w:val="24"/>
          <w:szCs w:val="24"/>
          <w:lang w:eastAsia="en-US"/>
        </w:rPr>
        <w:t xml:space="preserve">„икономически най–изгодна оферта“. </w:t>
      </w:r>
    </w:p>
    <w:p w:rsidR="00B12BB1" w:rsidRPr="00775CEF" w:rsidRDefault="00B12BB1" w:rsidP="00B12BB1">
      <w:pPr>
        <w:keepNext/>
        <w:spacing w:after="80"/>
        <w:ind w:firstLine="425"/>
        <w:jc w:val="both"/>
        <w:rPr>
          <w:rFonts w:eastAsia="Calibri"/>
          <w:b/>
          <w:sz w:val="24"/>
          <w:szCs w:val="24"/>
          <w:lang w:val="ru-RU" w:eastAsia="en-US"/>
        </w:rPr>
      </w:pPr>
      <w:r w:rsidRPr="00775CEF">
        <w:rPr>
          <w:rFonts w:eastAsia="Calibri"/>
          <w:sz w:val="24"/>
          <w:szCs w:val="24"/>
          <w:lang w:val="ru-RU" w:eastAsia="en-US"/>
        </w:rPr>
        <w:t xml:space="preserve">Икономически най-изгодната оферта ще се определи въз основа на </w:t>
      </w:r>
      <w:r w:rsidRPr="00775CEF">
        <w:rPr>
          <w:rFonts w:eastAsia="Calibri"/>
          <w:b/>
          <w:bCs/>
          <w:sz w:val="24"/>
          <w:szCs w:val="24"/>
          <w:lang w:eastAsia="en-US"/>
        </w:rPr>
        <w:t>„</w:t>
      </w:r>
      <w:r w:rsidRPr="00775CEF">
        <w:rPr>
          <w:rFonts w:eastAsia="Calibri"/>
          <w:b/>
          <w:sz w:val="24"/>
          <w:szCs w:val="24"/>
          <w:lang w:val="ru-RU" w:eastAsia="en-US"/>
        </w:rPr>
        <w:t>икономически най-изгодна оферта</w:t>
      </w:r>
      <w:r w:rsidRPr="00775CEF">
        <w:rPr>
          <w:rFonts w:eastAsia="Calibri"/>
          <w:b/>
          <w:sz w:val="24"/>
          <w:szCs w:val="24"/>
          <w:lang w:val="en-US" w:eastAsia="en-US"/>
        </w:rPr>
        <w:t>”</w:t>
      </w:r>
      <w:r w:rsidRPr="00775CEF">
        <w:rPr>
          <w:rFonts w:eastAsia="Calibri"/>
          <w:sz w:val="24"/>
          <w:szCs w:val="24"/>
          <w:lang w:val="ru-RU" w:eastAsia="en-US"/>
        </w:rPr>
        <w:t>, при използване на критерий  оптимално съотношение  качество/цена  в съответствие с разпоредбата на чл.70, ал.2, т.3 от ЗОП, въз основа на  показатели за оценка качество /цена както следва;</w:t>
      </w:r>
    </w:p>
    <w:p w:rsidR="00B12BB1" w:rsidRPr="00775CEF" w:rsidRDefault="00B12BB1" w:rsidP="00B12BB1">
      <w:pPr>
        <w:keepNext/>
        <w:spacing w:after="80"/>
        <w:ind w:firstLine="425"/>
        <w:rPr>
          <w:rFonts w:eastAsia="Calibri"/>
          <w:b/>
          <w:bCs/>
          <w:sz w:val="24"/>
          <w:szCs w:val="24"/>
          <w:lang w:val="en-US" w:eastAsia="en-US"/>
        </w:rPr>
      </w:pPr>
      <w:r w:rsidRPr="00775CEF">
        <w:rPr>
          <w:rFonts w:eastAsia="Calibri"/>
          <w:b/>
          <w:bCs/>
          <w:sz w:val="24"/>
          <w:szCs w:val="24"/>
          <w:lang w:eastAsia="en-US"/>
        </w:rPr>
        <w:t>К1 – Организация на изпълнение на поръчката – 40%</w:t>
      </w:r>
    </w:p>
    <w:p w:rsidR="00B12BB1" w:rsidRPr="00775CEF" w:rsidRDefault="00B12BB1" w:rsidP="00B12BB1">
      <w:pPr>
        <w:keepNext/>
        <w:spacing w:after="80"/>
        <w:ind w:firstLine="425"/>
        <w:rPr>
          <w:rFonts w:eastAsia="Calibri"/>
          <w:b/>
          <w:bCs/>
          <w:sz w:val="24"/>
          <w:szCs w:val="24"/>
          <w:lang w:eastAsia="en-US"/>
        </w:rPr>
      </w:pPr>
      <w:r w:rsidRPr="00775CEF">
        <w:rPr>
          <w:rFonts w:eastAsia="Calibri"/>
          <w:b/>
          <w:bCs/>
          <w:sz w:val="24"/>
          <w:szCs w:val="24"/>
          <w:lang w:eastAsia="en-US"/>
        </w:rPr>
        <w:t>К2 – Предложена цена – 60%</w:t>
      </w:r>
    </w:p>
    <w:p w:rsidR="00B12BB1" w:rsidRPr="00775CEF" w:rsidRDefault="00B12BB1" w:rsidP="00B12BB1">
      <w:pPr>
        <w:keepNext/>
        <w:spacing w:after="80"/>
        <w:ind w:firstLine="425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 xml:space="preserve">Методика за комплексна оценка на офертите. </w:t>
      </w:r>
      <w:r w:rsidRPr="00775CEF">
        <w:rPr>
          <w:rFonts w:eastAsia="Calibri"/>
          <w:sz w:val="24"/>
          <w:szCs w:val="24"/>
          <w:lang w:eastAsia="en-US"/>
        </w:rPr>
        <w:t>Настоящата методика представлява съвкупност от правила, които имат за цел да се определи начина, по който ще се извърши класирането на офертите и ще се определи Изпълнителят на обществената поръчка. Методиката за определяне на комплексната оценка на офертата съдържа точни указания за определяне на оценката по всеки показател и за определяне на комплексната оценка на офертата, включително за относителната тежест, която Възложителят дава на всеки от показателите за определяне на икономически най-изгодната оферта.</w:t>
      </w:r>
    </w:p>
    <w:p w:rsidR="00B12BB1" w:rsidRPr="00775CEF" w:rsidRDefault="00B12BB1" w:rsidP="00B12BB1">
      <w:pPr>
        <w:keepNext/>
        <w:spacing w:after="80"/>
        <w:ind w:firstLine="425"/>
        <w:jc w:val="both"/>
        <w:rPr>
          <w:rFonts w:eastAsia="Calibri"/>
          <w:sz w:val="24"/>
          <w:szCs w:val="24"/>
        </w:rPr>
      </w:pPr>
      <w:r w:rsidRPr="00775CEF">
        <w:rPr>
          <w:rFonts w:eastAsia="Calibri"/>
          <w:sz w:val="24"/>
          <w:szCs w:val="24"/>
          <w:lang w:eastAsia="en-US"/>
        </w:rPr>
        <w:t xml:space="preserve">Класирането на офертите се извършва въз основа на комплексна оценка, изчислена на база оценка на офертите по посочените показатели, като на първо място се класира офертата с най-висока комплексна оценка. Възложителят прилага методиката по отношение на всички допуснати до оценка оферти, без да я променя. </w:t>
      </w:r>
      <w:r w:rsidRPr="00775CEF">
        <w:rPr>
          <w:rFonts w:eastAsia="TimesNewRoman,Bold"/>
          <w:b/>
          <w:bCs/>
          <w:sz w:val="24"/>
          <w:szCs w:val="24"/>
          <w:lang w:eastAsia="en-US"/>
        </w:rPr>
        <w:t>Критерий за възлагане –</w:t>
      </w:r>
      <w:r w:rsidRPr="00775CEF">
        <w:rPr>
          <w:rFonts w:eastAsia="TimesNewRoman,Bold"/>
          <w:bCs/>
          <w:sz w:val="24"/>
          <w:szCs w:val="24"/>
          <w:lang w:eastAsia="en-US"/>
        </w:rPr>
        <w:t xml:space="preserve"> </w:t>
      </w:r>
      <w:r w:rsidRPr="00775CEF">
        <w:rPr>
          <w:rFonts w:eastAsia="Calibri"/>
          <w:b/>
          <w:sz w:val="24"/>
          <w:szCs w:val="24"/>
          <w:lang w:eastAsia="en-US"/>
        </w:rPr>
        <w:t>Оптимално съотношение качество/цена въз основа на: Цена и качествени показатели</w:t>
      </w:r>
      <w:r w:rsidRPr="00775CEF">
        <w:rPr>
          <w:rFonts w:eastAsia="Calibri"/>
          <w:sz w:val="24"/>
          <w:szCs w:val="24"/>
          <w:lang w:eastAsia="en-US"/>
        </w:rPr>
        <w:t>. Офертите на участниците, които отговарят на изискванията на Възложителя, се подлагат на сравнителен анализ и се оценяват по следната схема: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9"/>
        <w:gridCol w:w="2551"/>
      </w:tblGrid>
      <w:tr w:rsidR="00B12BB1" w:rsidRPr="00775CEF" w:rsidTr="00FB77C9">
        <w:trPr>
          <w:cantSplit/>
          <w:trHeight w:val="75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jc w:val="center"/>
              <w:rPr>
                <w:rFonts w:eastAsia="Calibri"/>
                <w:b/>
                <w:sz w:val="24"/>
                <w:szCs w:val="24"/>
                <w:lang w:val="en-US"/>
              </w:rPr>
            </w:pPr>
            <w:r w:rsidRPr="00775CEF">
              <w:rPr>
                <w:rFonts w:eastAsia="Calibri"/>
                <w:b/>
                <w:sz w:val="24"/>
                <w:szCs w:val="24"/>
                <w:lang w:eastAsia="en-US"/>
              </w:rPr>
              <w:t>Показател – П</w:t>
            </w:r>
          </w:p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(наименование)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75CEF">
              <w:rPr>
                <w:rFonts w:eastAsia="Calibri"/>
                <w:b/>
                <w:sz w:val="24"/>
                <w:szCs w:val="24"/>
                <w:lang w:eastAsia="en-US"/>
              </w:rPr>
              <w:t>Максимално възможен бр. точки</w:t>
            </w:r>
          </w:p>
        </w:tc>
      </w:tr>
      <w:tr w:rsidR="00B12BB1" w:rsidRPr="00775CEF" w:rsidTr="00FB77C9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ind w:firstLine="142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1. Организация на изпълнение на поръчката – К1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jc w:val="center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</w:tr>
      <w:tr w:rsidR="00B12BB1" w:rsidRPr="00775CEF" w:rsidTr="00FB77C9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  <w:tab w:val="left" w:pos="601"/>
              </w:tabs>
              <w:spacing w:after="60" w:line="259" w:lineRule="auto"/>
              <w:ind w:firstLine="142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2. Предложена цена – К2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BB1" w:rsidRPr="00775CEF" w:rsidRDefault="00B12BB1" w:rsidP="00FB77C9">
            <w:pPr>
              <w:keepNext/>
              <w:tabs>
                <w:tab w:val="left" w:pos="0"/>
              </w:tabs>
              <w:spacing w:after="60" w:line="259" w:lineRule="auto"/>
              <w:jc w:val="center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60</w:t>
            </w:r>
          </w:p>
        </w:tc>
      </w:tr>
    </w:tbl>
    <w:p w:rsidR="00B12BB1" w:rsidRPr="00775CEF" w:rsidRDefault="00B12BB1" w:rsidP="00B12BB1">
      <w:pPr>
        <w:keepNext/>
        <w:tabs>
          <w:tab w:val="left" w:pos="0"/>
        </w:tabs>
        <w:spacing w:after="60" w:line="259" w:lineRule="auto"/>
        <w:ind w:firstLine="426"/>
        <w:rPr>
          <w:rFonts w:eastAsia="Calibri"/>
          <w:sz w:val="24"/>
          <w:szCs w:val="24"/>
          <w:lang w:eastAsia="en-US"/>
        </w:rPr>
      </w:pPr>
    </w:p>
    <w:p w:rsidR="00B12BB1" w:rsidRPr="00775CEF" w:rsidRDefault="00B12BB1" w:rsidP="00B12BB1">
      <w:pPr>
        <w:keepNext/>
        <w:tabs>
          <w:tab w:val="left" w:pos="0"/>
        </w:tabs>
        <w:spacing w:after="120"/>
        <w:ind w:firstLine="426"/>
        <w:rPr>
          <w:rFonts w:eastAsia="Calibri"/>
          <w:sz w:val="24"/>
          <w:szCs w:val="24"/>
          <w:lang w:val="en-US"/>
        </w:rPr>
      </w:pPr>
      <w:r w:rsidRPr="00775CEF">
        <w:rPr>
          <w:rFonts w:eastAsia="Calibri"/>
          <w:sz w:val="24"/>
          <w:szCs w:val="24"/>
          <w:lang w:eastAsia="en-US"/>
        </w:rPr>
        <w:t>Формулата по която се изчислява „Комплексната оценка” за всеки участник е:</w:t>
      </w:r>
    </w:p>
    <w:p w:rsidR="00B12BB1" w:rsidRPr="00775CEF" w:rsidRDefault="00B12BB1" w:rsidP="00B12BB1">
      <w:pPr>
        <w:keepNext/>
        <w:spacing w:after="120"/>
        <w:jc w:val="center"/>
        <w:rPr>
          <w:rFonts w:eastAsia="Calibri"/>
          <w:b/>
          <w:sz w:val="24"/>
          <w:szCs w:val="24"/>
          <w:lang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>КО = К1+ К2</w:t>
      </w:r>
    </w:p>
    <w:p w:rsidR="00B12BB1" w:rsidRPr="00775CEF" w:rsidRDefault="00B12BB1" w:rsidP="00B12BB1">
      <w:pPr>
        <w:keepNext/>
        <w:spacing w:after="120"/>
        <w:ind w:firstLine="426"/>
        <w:jc w:val="both"/>
        <w:rPr>
          <w:rFonts w:eastAsia="Calibri"/>
          <w:sz w:val="24"/>
          <w:szCs w:val="24"/>
          <w:lang w:val="ru-RU"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 xml:space="preserve">Показател </w:t>
      </w:r>
      <w:r w:rsidRPr="00775CEF">
        <w:rPr>
          <w:rFonts w:eastAsia="Calibri"/>
          <w:b/>
          <w:bCs/>
          <w:sz w:val="24"/>
          <w:szCs w:val="24"/>
          <w:lang w:val="ru-RU" w:eastAsia="en-US"/>
        </w:rPr>
        <w:t>Организация за изпълнение на поръчката</w:t>
      </w:r>
      <w:r w:rsidRPr="00775CEF">
        <w:rPr>
          <w:rFonts w:eastAsia="Calibri"/>
          <w:sz w:val="24"/>
          <w:szCs w:val="24"/>
          <w:lang w:val="ru-RU" w:eastAsia="en-US"/>
        </w:rPr>
        <w:t xml:space="preserve"> </w:t>
      </w:r>
      <w:r w:rsidRPr="00775CEF">
        <w:rPr>
          <w:rFonts w:eastAsia="Calibri"/>
          <w:b/>
          <w:sz w:val="24"/>
          <w:szCs w:val="24"/>
          <w:lang w:eastAsia="en-US"/>
        </w:rPr>
        <w:t xml:space="preserve">К1 </w:t>
      </w:r>
      <w:r w:rsidRPr="00775CEF">
        <w:rPr>
          <w:rFonts w:eastAsia="Calibri"/>
          <w:sz w:val="24"/>
          <w:szCs w:val="24"/>
          <w:lang w:eastAsia="en-US"/>
        </w:rPr>
        <w:t>–</w:t>
      </w:r>
      <w:r w:rsidRPr="00775CEF">
        <w:rPr>
          <w:rFonts w:eastAsia="Calibri"/>
          <w:sz w:val="24"/>
          <w:szCs w:val="24"/>
          <w:lang w:val="ru-RU" w:eastAsia="en-US"/>
        </w:rPr>
        <w:t xml:space="preserve"> до 40 т.</w:t>
      </w:r>
    </w:p>
    <w:p w:rsidR="00B12BB1" w:rsidRPr="00775CEF" w:rsidRDefault="00B12BB1" w:rsidP="00B12BB1">
      <w:pPr>
        <w:keepNext/>
        <w:spacing w:after="120"/>
        <w:ind w:firstLine="426"/>
        <w:jc w:val="both"/>
        <w:rPr>
          <w:rFonts w:eastAsia="Calibri"/>
          <w:sz w:val="24"/>
          <w:szCs w:val="24"/>
          <w:lang w:val="ru-RU"/>
        </w:rPr>
      </w:pPr>
      <w:r w:rsidRPr="00775CEF">
        <w:rPr>
          <w:rFonts w:eastAsia="Calibri"/>
          <w:sz w:val="24"/>
          <w:szCs w:val="24"/>
          <w:lang w:val="ru-RU" w:eastAsia="en-US"/>
        </w:rPr>
        <w:t>В Техническото си предложение участникът трябва да посочи организацията за изпълнение на строителството, съгласно техническата спецификация и минималните изисквания към техническите предложения на участниците. Оценява се посочената организация на работа. Показателят се изчислява по следния начин:</w:t>
      </w:r>
    </w:p>
    <w:tbl>
      <w:tblPr>
        <w:tblW w:w="993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37"/>
        <w:gridCol w:w="1499"/>
      </w:tblGrid>
      <w:tr w:rsidR="00B12BB1" w:rsidRPr="00775CEF" w:rsidTr="00FB77C9">
        <w:trPr>
          <w:trHeight w:val="535"/>
          <w:tblHeader/>
        </w:trPr>
        <w:tc>
          <w:tcPr>
            <w:tcW w:w="84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b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b/>
                <w:sz w:val="24"/>
                <w:szCs w:val="24"/>
                <w:lang w:eastAsia="en-US"/>
              </w:rPr>
              <w:t>Организация на изпълнението на поръчката</w:t>
            </w:r>
          </w:p>
        </w:tc>
        <w:tc>
          <w:tcPr>
            <w:tcW w:w="149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b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b/>
                <w:sz w:val="24"/>
                <w:szCs w:val="24"/>
                <w:lang w:val="ru-RU" w:eastAsia="en-US"/>
              </w:rPr>
              <w:t>Макс.40т.</w:t>
            </w:r>
          </w:p>
        </w:tc>
      </w:tr>
      <w:tr w:rsidR="00B12BB1" w:rsidRPr="00775CEF" w:rsidTr="00FB77C9">
        <w:tc>
          <w:tcPr>
            <w:tcW w:w="84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Предложената от участника организация на изпълнението на поръчката осигурява изпълнението на минималните изисквания на Възложителя, посочени в Техническата спецификация и описани в минималните изисквания към техническите предложения на участниците.</w:t>
            </w:r>
          </w:p>
        </w:tc>
        <w:tc>
          <w:tcPr>
            <w:tcW w:w="149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sz w:val="24"/>
                <w:szCs w:val="24"/>
                <w:lang w:val="ru-RU" w:eastAsia="en-US"/>
              </w:rPr>
              <w:t>10</w:t>
            </w:r>
          </w:p>
        </w:tc>
      </w:tr>
      <w:tr w:rsidR="00B12BB1" w:rsidRPr="00775CEF" w:rsidTr="00FB77C9">
        <w:tc>
          <w:tcPr>
            <w:tcW w:w="84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Предложената от участника организация на изпълнението на поръчката осигурява изпълнението на минималните изисквания на Възложителя, посочени в Техническата спецификация и описани в минималните изисквания към техническите предложения на участниците.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Техническото предложение надгражда минималните изисквания на Възложителя, посочени в Техническата спецификация при условие, че е налично едно от следните обстоятелства: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1. За всяка от дейностите е показано разпределението на екипа от експерти</w:t>
            </w:r>
            <w:r w:rsidRPr="00775CEF">
              <w:rPr>
                <w:rFonts w:eastAsia="Calibri"/>
                <w:sz w:val="24"/>
                <w:szCs w:val="24"/>
                <w:lang w:val="en-US" w:eastAsia="en-US"/>
              </w:rPr>
              <w:t xml:space="preserve">, </w:t>
            </w: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 за изпълнението на поръчката /кой какво ще изпълнява/ на ниво отделна задача /за целите на настоящата методика под „задача” се разбира обособена част от дефинирана дейност, която може да бъде самостоятелно възлагана на отделен експерт и чието изпълнение може да се проследи еднозначно, т.е. има ясно дефинирани начало и край и измерими резултати/;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2. За всяка дейност са дефинирани необходимите ресурси за нейното изпълнение /материали, механизация, работници и др./ и задълженията на отговорния/те за изпълнението й експерти;</w:t>
            </w:r>
          </w:p>
          <w:p w:rsidR="00B12BB1" w:rsidRPr="00775CEF" w:rsidRDefault="00B12BB1" w:rsidP="00FB77C9">
            <w:pPr>
              <w:keepNext/>
              <w:spacing w:before="120" w:after="12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 xml:space="preserve">3. </w:t>
            </w:r>
            <w:r w:rsidRPr="00775CEF">
              <w:rPr>
                <w:rFonts w:eastAsia="Calibri"/>
                <w:bCs/>
                <w:sz w:val="24"/>
                <w:szCs w:val="24"/>
                <w:lang w:eastAsia="en-US"/>
              </w:rPr>
              <w:t>Всички рискове, заложени в техническата спецификация, са обособени в категории, като е отчетена и анализирана вероятността от настъпване на риска и влиянието му върху процеса на изпълнение на договора. За всеки риск в техническата спецификация е предложена повече от една мярка за предотвратяване настъпването на риска и повече от една мярка за преодоляване последиците на вече настъпил риск.</w:t>
            </w:r>
          </w:p>
        </w:tc>
        <w:tc>
          <w:tcPr>
            <w:tcW w:w="149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sz w:val="24"/>
                <w:szCs w:val="24"/>
                <w:lang w:val="ru-RU" w:eastAsia="en-US"/>
              </w:rPr>
              <w:t>20</w:t>
            </w:r>
          </w:p>
        </w:tc>
      </w:tr>
      <w:tr w:rsidR="00B12BB1" w:rsidRPr="00775CEF" w:rsidTr="00FB77C9">
        <w:tc>
          <w:tcPr>
            <w:tcW w:w="84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Предложената от участника организация на изпълнението на поръчката осигурява изпълнението на минималните изисквания на Възложителя, посочени в Техническата спецификация и описани в минималните изисквания към техническите предложения на участниците.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Техническото предложение надгражда минималните изисквания на Възложителя, посочени в Техническата спецификация при условие, че са налични две от следните обстоятелства: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1. За всяка от дейностите е показано разпределението на екипа от експерти</w:t>
            </w:r>
            <w:r w:rsidRPr="00775CEF">
              <w:rPr>
                <w:rFonts w:eastAsia="Calibri"/>
                <w:sz w:val="24"/>
                <w:szCs w:val="24"/>
                <w:lang w:val="en-US" w:eastAsia="en-US"/>
              </w:rPr>
              <w:t xml:space="preserve">, </w:t>
            </w: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 за  изпълнението на поръчката /кой какво ще изпълнява/ на ниво отделна задача /за целите на настоящата методика под „задача” се разбира обособена част от дефинирана дейност, която може да бъде самостоятелно възлагана на отделен експерт и чието изпълнение може да се проследи еднозначно, т.е. има ясно дефинирани начало и край и измерими резултати/;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2. За всяка дейност са дефинирани необходимите ресурси за нейното изпълнение /материали, механизация, работници и др./ и задълженията на отговорния/те за изпълнението й експерти;</w:t>
            </w:r>
          </w:p>
          <w:p w:rsidR="00B12BB1" w:rsidRPr="00775CEF" w:rsidRDefault="00B12BB1" w:rsidP="00FB77C9">
            <w:pPr>
              <w:keepNext/>
              <w:spacing w:before="120" w:after="12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 xml:space="preserve">3. </w:t>
            </w:r>
            <w:r w:rsidRPr="00775CEF">
              <w:rPr>
                <w:rFonts w:eastAsia="Calibri"/>
                <w:bCs/>
                <w:sz w:val="24"/>
                <w:szCs w:val="24"/>
                <w:lang w:eastAsia="en-US"/>
              </w:rPr>
              <w:t>Всички рискове, заложени в техническата спецификация, са обособени в категории, като е отчетена и анализирана вероятността от настъпване на риска и влиянието му върху процеса на изпълнение на договора. За всеки риск в техническата спецификация е предложена повече от една мярка за предотвратяване настъпването на риска и повече от една мярка за преодоляване последиците на вече настъпил риск.</w:t>
            </w:r>
          </w:p>
        </w:tc>
        <w:tc>
          <w:tcPr>
            <w:tcW w:w="149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sz w:val="24"/>
                <w:szCs w:val="24"/>
                <w:lang w:val="ru-RU" w:eastAsia="en-US"/>
              </w:rPr>
              <w:t>30</w:t>
            </w:r>
          </w:p>
        </w:tc>
      </w:tr>
      <w:tr w:rsidR="00B12BB1" w:rsidRPr="00775CEF" w:rsidTr="00FB77C9">
        <w:trPr>
          <w:trHeight w:val="611"/>
        </w:trPr>
        <w:tc>
          <w:tcPr>
            <w:tcW w:w="84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Предложената от участника организация на изпълнението на поръчката осигурява изпълнението на минималните изисквания на Възложителя, посочени в Техническата спецификация и описани в минималните изисквания към техническите предложения на участниците.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Техническото предложение надгражда минималните изисквания на Възложителя, посочени в Техническата спецификация при условие, че е налично всяко от следните обстоятелства: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1. За всяка от дейностите е показано разпределението на екипа от експерти</w:t>
            </w:r>
            <w:r w:rsidRPr="00775CEF">
              <w:rPr>
                <w:rFonts w:eastAsia="Calibri"/>
                <w:sz w:val="24"/>
                <w:szCs w:val="24"/>
                <w:lang w:val="en-US" w:eastAsia="en-US"/>
              </w:rPr>
              <w:t xml:space="preserve">, </w:t>
            </w:r>
            <w:r w:rsidRPr="00775CEF">
              <w:rPr>
                <w:rFonts w:eastAsia="Calibri"/>
                <w:sz w:val="24"/>
                <w:szCs w:val="24"/>
                <w:lang w:eastAsia="en-US"/>
              </w:rPr>
              <w:t>предложен за  изпълнението на поръчката /кой какво ще изпълнява/ на ниво отделна задача /за целите на настоящата методика под „задача” се разбира обособена част от дефинирана дейност, която може да бъде самостоятелно възлагана на отделен експерт и чието изпълнение може да се проследи еднозначно, т.е. има ясно дефинирани начало и край и измерими резултати/;</w:t>
            </w:r>
          </w:p>
          <w:p w:rsidR="00B12BB1" w:rsidRPr="00775CEF" w:rsidRDefault="00B12BB1" w:rsidP="00FB77C9">
            <w:pPr>
              <w:keepNext/>
              <w:spacing w:after="160" w:line="259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>2. За всяка дейност са дефинирани необходимите ресурси за нейното изпълнение /материали, механизация, работници и др./ и задълженията на отговорния/те за изпълнението й експерти;</w:t>
            </w:r>
          </w:p>
          <w:p w:rsidR="00B12BB1" w:rsidRPr="00775CEF" w:rsidRDefault="00B12BB1" w:rsidP="00FB77C9">
            <w:pPr>
              <w:keepNext/>
              <w:spacing w:before="120" w:after="120"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775CEF">
              <w:rPr>
                <w:rFonts w:eastAsia="Calibri"/>
                <w:sz w:val="24"/>
                <w:szCs w:val="24"/>
                <w:lang w:eastAsia="en-US"/>
              </w:rPr>
              <w:t xml:space="preserve">3. </w:t>
            </w:r>
            <w:r w:rsidRPr="00775CEF">
              <w:rPr>
                <w:rFonts w:eastAsia="Calibri"/>
                <w:bCs/>
                <w:sz w:val="24"/>
                <w:szCs w:val="24"/>
                <w:lang w:eastAsia="en-US"/>
              </w:rPr>
              <w:t>Всички рискове, заложени в техническата спецификация, са обособени в категории, като е отчетена и анализирана вероятността от настъпване на риска и влиянието му върху процеса на изпълнение на договора. За всеки риск в техническата спецификация е предложена повече от една мярка за предотвратяване настъпването на риска и повече от една мярка за преодоляване последиците на вече настъпил риск.</w:t>
            </w:r>
          </w:p>
        </w:tc>
        <w:tc>
          <w:tcPr>
            <w:tcW w:w="149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BB1" w:rsidRPr="00775CEF" w:rsidRDefault="00B12BB1" w:rsidP="00FB77C9">
            <w:pPr>
              <w:keepNext/>
              <w:spacing w:after="160" w:line="259" w:lineRule="auto"/>
              <w:rPr>
                <w:rFonts w:eastAsia="Calibri"/>
                <w:sz w:val="24"/>
                <w:szCs w:val="24"/>
                <w:lang w:val="ru-RU"/>
              </w:rPr>
            </w:pPr>
            <w:r w:rsidRPr="00775CEF">
              <w:rPr>
                <w:rFonts w:eastAsia="Calibri"/>
                <w:sz w:val="24"/>
                <w:szCs w:val="24"/>
                <w:lang w:val="ru-RU" w:eastAsia="en-US"/>
              </w:rPr>
              <w:t>40</w:t>
            </w:r>
          </w:p>
        </w:tc>
      </w:tr>
    </w:tbl>
    <w:p w:rsidR="00B12BB1" w:rsidRPr="00775CEF" w:rsidRDefault="00B12BB1" w:rsidP="00B12BB1">
      <w:pPr>
        <w:keepNext/>
        <w:spacing w:after="160" w:line="259" w:lineRule="auto"/>
        <w:rPr>
          <w:rFonts w:eastAsia="Calibri"/>
          <w:sz w:val="24"/>
          <w:szCs w:val="24"/>
          <w:lang w:val="ru-RU" w:eastAsia="en-US"/>
        </w:rPr>
      </w:pPr>
    </w:p>
    <w:p w:rsidR="00B12BB1" w:rsidRPr="00775CEF" w:rsidRDefault="00B12BB1" w:rsidP="00B12BB1">
      <w:pPr>
        <w:keepNext/>
        <w:spacing w:after="60" w:line="259" w:lineRule="auto"/>
        <w:ind w:firstLine="567"/>
        <w:jc w:val="both"/>
        <w:rPr>
          <w:rFonts w:eastAsia="Calibri"/>
          <w:b/>
          <w:sz w:val="24"/>
          <w:szCs w:val="24"/>
          <w:lang w:val="en-US"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>Показател „ЦЕНОВО ПРЕДЛОЖЕНИЕ” – К2</w:t>
      </w:r>
    </w:p>
    <w:p w:rsidR="00B12BB1" w:rsidRPr="00775CEF" w:rsidRDefault="00B12BB1" w:rsidP="00B12BB1">
      <w:pPr>
        <w:keepNext/>
        <w:spacing w:after="60" w:line="259" w:lineRule="auto"/>
        <w:ind w:firstLine="540"/>
        <w:jc w:val="both"/>
        <w:rPr>
          <w:rFonts w:eastAsia="Calibri"/>
          <w:sz w:val="24"/>
          <w:szCs w:val="24"/>
          <w:lang w:val="ru-RU" w:eastAsia="en-US"/>
        </w:rPr>
      </w:pPr>
    </w:p>
    <w:p w:rsidR="00B12BB1" w:rsidRPr="00775CEF" w:rsidRDefault="00B12BB1" w:rsidP="00B12BB1">
      <w:pPr>
        <w:keepNext/>
        <w:spacing w:after="60" w:line="259" w:lineRule="auto"/>
        <w:ind w:firstLine="540"/>
        <w:jc w:val="both"/>
        <w:rPr>
          <w:rFonts w:eastAsia="Calibri"/>
          <w:sz w:val="24"/>
          <w:szCs w:val="24"/>
          <w:lang w:val="en-US" w:eastAsia="en-US"/>
        </w:rPr>
      </w:pPr>
      <w:r w:rsidRPr="00775CEF">
        <w:rPr>
          <w:rFonts w:eastAsia="Calibri"/>
          <w:sz w:val="24"/>
          <w:szCs w:val="24"/>
          <w:lang w:val="ru-RU" w:eastAsia="en-US"/>
        </w:rPr>
        <w:t xml:space="preserve">До оценка по </w:t>
      </w:r>
      <w:r w:rsidRPr="00775CEF">
        <w:rPr>
          <w:rFonts w:eastAsia="Calibri"/>
          <w:sz w:val="24"/>
          <w:szCs w:val="24"/>
          <w:lang w:eastAsia="en-US"/>
        </w:rPr>
        <w:t xml:space="preserve">този </w:t>
      </w:r>
      <w:r w:rsidRPr="00775CEF">
        <w:rPr>
          <w:rFonts w:eastAsia="Calibri"/>
          <w:sz w:val="24"/>
          <w:szCs w:val="24"/>
          <w:lang w:val="ru-RU" w:eastAsia="en-US"/>
        </w:rPr>
        <w:t>показател се допускат само оферти, които съответстват на условията за изпълнение на обществената поръчка. М</w:t>
      </w:r>
      <w:r w:rsidRPr="00775CEF">
        <w:rPr>
          <w:rFonts w:eastAsia="Calibri"/>
          <w:sz w:val="24"/>
          <w:szCs w:val="24"/>
          <w:lang w:eastAsia="en-US"/>
        </w:rPr>
        <w:t xml:space="preserve">аксимален брой точки по показателя – 60 точки. Оценките на офертите по показателя се изчисляват по формулата: </w:t>
      </w:r>
    </w:p>
    <w:p w:rsidR="00B12BB1" w:rsidRPr="00775CEF" w:rsidRDefault="00B12BB1" w:rsidP="00B12BB1">
      <w:pPr>
        <w:keepNext/>
        <w:spacing w:after="60" w:line="259" w:lineRule="auto"/>
        <w:ind w:firstLine="540"/>
        <w:jc w:val="both"/>
        <w:rPr>
          <w:rFonts w:eastAsia="Calibri"/>
          <w:sz w:val="16"/>
          <w:szCs w:val="16"/>
          <w:lang w:val="ru-RU" w:eastAsia="en-US"/>
        </w:rPr>
      </w:pPr>
    </w:p>
    <w:p w:rsidR="00B12BB1" w:rsidRPr="00775CEF" w:rsidRDefault="00B12BB1" w:rsidP="00B12BB1">
      <w:pPr>
        <w:keepNext/>
        <w:spacing w:after="60" w:line="259" w:lineRule="auto"/>
        <w:ind w:right="-2" w:firstLine="540"/>
        <w:jc w:val="center"/>
        <w:rPr>
          <w:rFonts w:eastAsia="Calibri"/>
          <w:b/>
          <w:sz w:val="24"/>
          <w:szCs w:val="24"/>
          <w:lang w:val="en-US"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>К2 = (Цmin / Цi) х 60 = .......... (брой точки)</w:t>
      </w:r>
    </w:p>
    <w:p w:rsidR="00B12BB1" w:rsidRPr="00775CEF" w:rsidRDefault="00B12BB1" w:rsidP="00B12BB1">
      <w:pPr>
        <w:keepNext/>
        <w:spacing w:after="60" w:line="259" w:lineRule="auto"/>
        <w:ind w:right="-2" w:firstLine="426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 xml:space="preserve">Където </w:t>
      </w:r>
      <w:r w:rsidRPr="00775CEF">
        <w:rPr>
          <w:rFonts w:eastAsia="Calibri"/>
          <w:b/>
          <w:sz w:val="24"/>
          <w:szCs w:val="24"/>
          <w:lang w:eastAsia="en-US"/>
        </w:rPr>
        <w:t>Цi</w:t>
      </w:r>
      <w:r w:rsidRPr="00775CEF">
        <w:rPr>
          <w:rFonts w:eastAsia="Calibri"/>
          <w:sz w:val="24"/>
          <w:szCs w:val="24"/>
          <w:lang w:eastAsia="en-US"/>
        </w:rPr>
        <w:t xml:space="preserve"> е предложената обща цена в лева без ДДС съгласно Ценовото предложение на съответния участник.</w:t>
      </w:r>
    </w:p>
    <w:p w:rsidR="00B12BB1" w:rsidRPr="00775CEF" w:rsidRDefault="00B12BB1" w:rsidP="00B12BB1">
      <w:pPr>
        <w:keepNext/>
        <w:spacing w:after="60" w:line="259" w:lineRule="auto"/>
        <w:ind w:right="-2" w:firstLine="426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 xml:space="preserve">Където </w:t>
      </w:r>
      <w:r w:rsidRPr="00775CEF">
        <w:rPr>
          <w:rFonts w:eastAsia="Calibri"/>
          <w:b/>
          <w:sz w:val="24"/>
          <w:szCs w:val="24"/>
          <w:lang w:eastAsia="en-US"/>
        </w:rPr>
        <w:t>Цmin</w:t>
      </w:r>
      <w:r w:rsidRPr="00775CEF">
        <w:rPr>
          <w:rFonts w:eastAsia="Calibri"/>
          <w:sz w:val="24"/>
          <w:szCs w:val="24"/>
          <w:lang w:eastAsia="en-US"/>
        </w:rPr>
        <w:t xml:space="preserve"> е минималната предложена обща цена в лева без ДДС съгласно Ценовите предложения на всички участници.</w:t>
      </w:r>
    </w:p>
    <w:p w:rsidR="00B12BB1" w:rsidRPr="00775CEF" w:rsidRDefault="00B12BB1" w:rsidP="00B12BB1">
      <w:pPr>
        <w:keepNext/>
        <w:spacing w:after="60"/>
        <w:ind w:right="-2" w:firstLine="426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>Ценовите предложения се проверяват, за да се установи, че са подготвени и представени в съответствие с изискванията на документацията за участие в процедурата. От участие в процедурата се отстранява участник, при който бъдат установени аритметични грешки в ценовото предложение</w:t>
      </w:r>
      <w:r w:rsidRPr="00775CEF">
        <w:rPr>
          <w:rFonts w:eastAsia="Calibri"/>
          <w:sz w:val="24"/>
          <w:szCs w:val="24"/>
          <w:lang w:val="ru-RU" w:eastAsia="en-US"/>
        </w:rPr>
        <w:t xml:space="preserve"> </w:t>
      </w:r>
      <w:r w:rsidRPr="00775CEF">
        <w:rPr>
          <w:rFonts w:eastAsia="Calibri"/>
          <w:sz w:val="24"/>
          <w:szCs w:val="24"/>
          <w:lang w:eastAsia="en-US"/>
        </w:rPr>
        <w:t>и/или е предложил цена за изпълнение на поръчката по-висока от максималната допустима стойност на осигурения бюджет  без ДДС.</w:t>
      </w:r>
    </w:p>
    <w:p w:rsidR="00B12BB1" w:rsidRPr="00775CEF" w:rsidRDefault="00B12BB1" w:rsidP="00B12BB1">
      <w:pPr>
        <w:keepNext/>
        <w:spacing w:after="60"/>
        <w:ind w:right="-2" w:firstLine="426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>При оценка на показателите Комисията изчислява точките с точност до втория знак след десетичната запетая. За всички оценявани показатели в посочената методика  закръглявания се допускат до втория знак след десетичната запетая. Участници, които не са се съобразили с това изискване се отстраняват от участие в процедурата.</w:t>
      </w:r>
    </w:p>
    <w:p w:rsidR="00B12BB1" w:rsidRPr="00775CEF" w:rsidRDefault="00B12BB1" w:rsidP="00B12BB1">
      <w:pPr>
        <w:keepNext/>
        <w:spacing w:after="180"/>
        <w:ind w:firstLine="425"/>
        <w:jc w:val="both"/>
        <w:rPr>
          <w:rFonts w:eastAsia="Calibri"/>
          <w:b/>
          <w:sz w:val="24"/>
          <w:szCs w:val="24"/>
          <w:lang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>Комплексната оценка – КО на офертата се изчислява по формулата:</w:t>
      </w:r>
    </w:p>
    <w:p w:rsidR="00B12BB1" w:rsidRPr="00775CEF" w:rsidRDefault="00B12BB1" w:rsidP="00B12BB1">
      <w:pPr>
        <w:keepNext/>
        <w:spacing w:after="180"/>
        <w:ind w:firstLine="425"/>
        <w:jc w:val="center"/>
        <w:rPr>
          <w:rFonts w:eastAsia="Calibri"/>
          <w:b/>
          <w:sz w:val="24"/>
          <w:szCs w:val="24"/>
          <w:lang w:eastAsia="en-US"/>
        </w:rPr>
      </w:pPr>
      <w:r w:rsidRPr="00775CEF">
        <w:rPr>
          <w:rFonts w:eastAsia="Calibri"/>
          <w:b/>
          <w:sz w:val="24"/>
          <w:szCs w:val="24"/>
          <w:lang w:eastAsia="en-US"/>
        </w:rPr>
        <w:t>КО = К1+ К2</w:t>
      </w:r>
    </w:p>
    <w:p w:rsidR="00B12BB1" w:rsidRPr="00775CEF" w:rsidRDefault="00B12BB1" w:rsidP="00B12BB1">
      <w:pPr>
        <w:keepNext/>
        <w:spacing w:after="60"/>
        <w:ind w:firstLine="426"/>
        <w:jc w:val="both"/>
        <w:rPr>
          <w:rFonts w:eastAsia="Calibri"/>
          <w:sz w:val="24"/>
          <w:szCs w:val="24"/>
          <w:lang w:eastAsia="en-US"/>
        </w:rPr>
      </w:pPr>
      <w:r w:rsidRPr="00775CEF">
        <w:rPr>
          <w:rFonts w:eastAsia="Calibri"/>
          <w:sz w:val="24"/>
          <w:szCs w:val="24"/>
          <w:lang w:eastAsia="en-US"/>
        </w:rPr>
        <w:t>В случай, че комплексните оценки на две или повече оферти са равни се прилага разпоредбата на чл. 71, ал. 4 от ЗОП. В случай, че офертата не може да се определи по този ред, Комисията провежда публично жребий за определяне на изпълнител между класираните на първо място оферти.</w:t>
      </w:r>
    </w:p>
    <w:p w:rsidR="00305C48" w:rsidRDefault="00CE4463"/>
    <w:sectPr w:rsidR="00305C4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463" w:rsidRDefault="00CE4463" w:rsidP="00194FA9">
      <w:r>
        <w:separator/>
      </w:r>
    </w:p>
  </w:endnote>
  <w:endnote w:type="continuationSeparator" w:id="0">
    <w:p w:rsidR="00CE4463" w:rsidRDefault="00CE4463" w:rsidP="00194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562616"/>
      <w:docPartObj>
        <w:docPartGallery w:val="Page Numbers (Bottom of Page)"/>
        <w:docPartUnique/>
      </w:docPartObj>
    </w:sdtPr>
    <w:sdtContent>
      <w:p w:rsidR="00194FA9" w:rsidRDefault="00194FA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4463">
          <w:rPr>
            <w:noProof/>
          </w:rPr>
          <w:t>1</w:t>
        </w:r>
        <w:r>
          <w:fldChar w:fldCharType="end"/>
        </w:r>
      </w:p>
    </w:sdtContent>
  </w:sdt>
  <w:p w:rsidR="00194FA9" w:rsidRDefault="00194F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463" w:rsidRDefault="00CE4463" w:rsidP="00194FA9">
      <w:r>
        <w:separator/>
      </w:r>
    </w:p>
  </w:footnote>
  <w:footnote w:type="continuationSeparator" w:id="0">
    <w:p w:rsidR="00CE4463" w:rsidRDefault="00CE4463" w:rsidP="00194F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4"/>
    <w:multiLevelType w:val="multilevel"/>
    <w:tmpl w:val="2B8CDE1A"/>
    <w:name w:val="WWNum21"/>
    <w:lvl w:ilvl="0">
      <w:start w:val="1"/>
      <w:numFmt w:val="decimal"/>
      <w:lvlText w:val="%1."/>
      <w:lvlJc w:val="left"/>
      <w:pPr>
        <w:tabs>
          <w:tab w:val="num" w:pos="2413"/>
        </w:tabs>
        <w:ind w:left="3763" w:hanging="360"/>
      </w:pPr>
      <w:rPr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2413"/>
        </w:tabs>
        <w:ind w:left="4483" w:hanging="360"/>
      </w:pPr>
      <w:rPr>
        <w:rFonts w:ascii="Calibri" w:hAnsi="Calibri" w:cs="Times New Roman"/>
      </w:rPr>
    </w:lvl>
    <w:lvl w:ilvl="2">
      <w:start w:val="1"/>
      <w:numFmt w:val="lowerRoman"/>
      <w:lvlText w:val="%2.%3."/>
      <w:lvlJc w:val="right"/>
      <w:pPr>
        <w:tabs>
          <w:tab w:val="num" w:pos="2413"/>
        </w:tabs>
        <w:ind w:left="5203" w:hanging="180"/>
      </w:pPr>
    </w:lvl>
    <w:lvl w:ilvl="3">
      <w:start w:val="1"/>
      <w:numFmt w:val="decimal"/>
      <w:lvlText w:val="%2.%3.%4."/>
      <w:lvlJc w:val="left"/>
      <w:pPr>
        <w:tabs>
          <w:tab w:val="num" w:pos="2413"/>
        </w:tabs>
        <w:ind w:left="5923" w:hanging="360"/>
      </w:pPr>
    </w:lvl>
    <w:lvl w:ilvl="4">
      <w:start w:val="1"/>
      <w:numFmt w:val="lowerLetter"/>
      <w:lvlText w:val="%2.%3.%4.%5."/>
      <w:lvlJc w:val="left"/>
      <w:pPr>
        <w:tabs>
          <w:tab w:val="num" w:pos="2413"/>
        </w:tabs>
        <w:ind w:left="6643" w:hanging="360"/>
      </w:pPr>
    </w:lvl>
    <w:lvl w:ilvl="5">
      <w:start w:val="1"/>
      <w:numFmt w:val="lowerRoman"/>
      <w:lvlText w:val="%2.%3.%4.%5.%6."/>
      <w:lvlJc w:val="right"/>
      <w:pPr>
        <w:tabs>
          <w:tab w:val="num" w:pos="2413"/>
        </w:tabs>
        <w:ind w:left="7363" w:hanging="180"/>
      </w:pPr>
    </w:lvl>
    <w:lvl w:ilvl="6">
      <w:start w:val="1"/>
      <w:numFmt w:val="decimal"/>
      <w:lvlText w:val="%2.%3.%4.%5.%6.%7."/>
      <w:lvlJc w:val="left"/>
      <w:pPr>
        <w:tabs>
          <w:tab w:val="num" w:pos="2413"/>
        </w:tabs>
        <w:ind w:left="8083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2413"/>
        </w:tabs>
        <w:ind w:left="8803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2413"/>
        </w:tabs>
        <w:ind w:left="9523" w:hanging="180"/>
      </w:pPr>
    </w:lvl>
  </w:abstractNum>
  <w:abstractNum w:abstractNumId="1">
    <w:nsid w:val="457B3D66"/>
    <w:multiLevelType w:val="hybridMultilevel"/>
    <w:tmpl w:val="63FA0198"/>
    <w:lvl w:ilvl="0" w:tplc="ADBA41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8AA1E70"/>
    <w:multiLevelType w:val="hybridMultilevel"/>
    <w:tmpl w:val="394691C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5F64F5"/>
    <w:multiLevelType w:val="hybridMultilevel"/>
    <w:tmpl w:val="07A831D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C51"/>
    <w:rsid w:val="001077C2"/>
    <w:rsid w:val="00194FA9"/>
    <w:rsid w:val="002F2C6E"/>
    <w:rsid w:val="003943E2"/>
    <w:rsid w:val="00B12BB1"/>
    <w:rsid w:val="00C87C51"/>
    <w:rsid w:val="00C9692A"/>
    <w:rsid w:val="00CE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1,List Paragraph1,ПАРАГРАФ"/>
    <w:basedOn w:val="a"/>
    <w:link w:val="a4"/>
    <w:uiPriority w:val="34"/>
    <w:qFormat/>
    <w:rsid w:val="00B12BB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x-none" w:eastAsia="x-none"/>
    </w:rPr>
  </w:style>
  <w:style w:type="character" w:customStyle="1" w:styleId="a4">
    <w:name w:val="Списък на абзаци Знак"/>
    <w:aliases w:val="List1 Знак,List Paragraph1 Знак,ПАРАГРАФ Знак"/>
    <w:link w:val="a3"/>
    <w:uiPriority w:val="34"/>
    <w:rsid w:val="00B12BB1"/>
    <w:rPr>
      <w:rFonts w:ascii="Calibri" w:eastAsia="Times New Roman" w:hAnsi="Calibri" w:cs="Times New Roman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194FA9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194FA9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7">
    <w:name w:val="footer"/>
    <w:basedOn w:val="a"/>
    <w:link w:val="a8"/>
    <w:uiPriority w:val="99"/>
    <w:unhideWhenUsed/>
    <w:rsid w:val="00194FA9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194FA9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C9692A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C9692A"/>
    <w:rPr>
      <w:rFonts w:ascii="Tahoma" w:eastAsia="Times New Roman" w:hAnsi="Tahoma" w:cs="Tahoma"/>
      <w:sz w:val="16"/>
      <w:szCs w:val="16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1,List Paragraph1,ПАРАГРАФ"/>
    <w:basedOn w:val="a"/>
    <w:link w:val="a4"/>
    <w:uiPriority w:val="34"/>
    <w:qFormat/>
    <w:rsid w:val="00B12BB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x-none" w:eastAsia="x-none"/>
    </w:rPr>
  </w:style>
  <w:style w:type="character" w:customStyle="1" w:styleId="a4">
    <w:name w:val="Списък на абзаци Знак"/>
    <w:aliases w:val="List1 Знак,List Paragraph1 Знак,ПАРАГРАФ Знак"/>
    <w:link w:val="a3"/>
    <w:uiPriority w:val="34"/>
    <w:rsid w:val="00B12BB1"/>
    <w:rPr>
      <w:rFonts w:ascii="Calibri" w:eastAsia="Times New Roman" w:hAnsi="Calibri" w:cs="Times New Roman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194FA9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194FA9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7">
    <w:name w:val="footer"/>
    <w:basedOn w:val="a"/>
    <w:link w:val="a8"/>
    <w:uiPriority w:val="99"/>
    <w:unhideWhenUsed/>
    <w:rsid w:val="00194FA9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194FA9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C9692A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C9692A"/>
    <w:rPr>
      <w:rFonts w:ascii="Tahoma" w:eastAsia="Times New Roman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8</Pages>
  <Words>2869</Words>
  <Characters>16357</Characters>
  <Application>Microsoft Office Word</Application>
  <DocSecurity>0</DocSecurity>
  <Lines>136</Lines>
  <Paragraphs>38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Калина Славова</dc:creator>
  <cp:keywords/>
  <dc:description/>
  <cp:lastModifiedBy>Калина Славова</cp:lastModifiedBy>
  <cp:revision>4</cp:revision>
  <cp:lastPrinted>2020-09-28T13:12:00Z</cp:lastPrinted>
  <dcterms:created xsi:type="dcterms:W3CDTF">2020-09-28T13:10:00Z</dcterms:created>
  <dcterms:modified xsi:type="dcterms:W3CDTF">2020-09-28T13:46:00Z</dcterms:modified>
</cp:coreProperties>
</file>